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1" w:rsidRDefault="009136D7" w:rsidP="0091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6D7">
        <w:rPr>
          <w:rFonts w:ascii="Times New Roman" w:hAnsi="Times New Roman" w:cs="Times New Roman"/>
          <w:b/>
          <w:sz w:val="28"/>
          <w:szCs w:val="28"/>
        </w:rPr>
        <w:t xml:space="preserve">Трискладовий тест </w:t>
      </w:r>
    </w:p>
    <w:p w:rsidR="00CC445E" w:rsidRPr="00114741" w:rsidRDefault="00114741" w:rsidP="0091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EE">
        <w:rPr>
          <w:rFonts w:ascii="Times New Roman" w:hAnsi="Times New Roman" w:cs="Times New Roman"/>
          <w:b/>
          <w:sz w:val="28"/>
          <w:szCs w:val="28"/>
        </w:rPr>
        <w:t xml:space="preserve">набору даних </w:t>
      </w:r>
      <w:r w:rsidRPr="000468EE">
        <w:rPr>
          <w:rFonts w:ascii="Times New Roman" w:hAnsi="Times New Roman"/>
          <w:b/>
          <w:sz w:val="28"/>
          <w:szCs w:val="28"/>
        </w:rPr>
        <w:t xml:space="preserve">«Реєстр </w:t>
      </w:r>
      <w:r w:rsidRPr="00114741">
        <w:rPr>
          <w:rFonts w:ascii="Times New Roman" w:hAnsi="Times New Roman" w:cs="Times New Roman"/>
          <w:b/>
          <w:sz w:val="28"/>
          <w:szCs w:val="28"/>
        </w:rPr>
        <w:t>декларацій відповідності матеріально-технічної бази вимогам законодавства з питань охорони праці»</w:t>
      </w:r>
    </w:p>
    <w:p w:rsidR="009136D7" w:rsidRPr="00114741" w:rsidRDefault="009136D7" w:rsidP="00C25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D7" w:rsidRPr="00DD679B" w:rsidRDefault="009136D7" w:rsidP="00DD6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431"/>
        <w:gridCol w:w="4604"/>
      </w:tblGrid>
      <w:tr w:rsidR="00AF464F" w:rsidTr="00532833">
        <w:tc>
          <w:tcPr>
            <w:tcW w:w="594" w:type="dxa"/>
            <w:vAlign w:val="center"/>
          </w:tcPr>
          <w:p w:rsidR="00CC445E" w:rsidRDefault="00DD679B" w:rsidP="004F1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4F16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431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покрокового алгоритму</w:t>
            </w:r>
          </w:p>
        </w:tc>
        <w:tc>
          <w:tcPr>
            <w:tcW w:w="4604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Відповідь, обґрунтування</w:t>
            </w:r>
          </w:p>
        </w:tc>
      </w:tr>
      <w:tr w:rsidR="00AF464F" w:rsidTr="00532833">
        <w:tc>
          <w:tcPr>
            <w:tcW w:w="594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та відповідальна особа</w:t>
            </w:r>
          </w:p>
        </w:tc>
        <w:tc>
          <w:tcPr>
            <w:tcW w:w="4604" w:type="dxa"/>
          </w:tcPr>
          <w:p w:rsidR="00E30093" w:rsidRDefault="00114741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Держпраці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445E" w:rsidRDefault="00114741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особи міжрегіональних територіальних органів Держпраці</w:t>
            </w:r>
            <w:r w:rsidR="00671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79B" w:rsidRDefault="00DD679B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532833">
        <w:tc>
          <w:tcPr>
            <w:tcW w:w="594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апитувач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</w:t>
            </w:r>
          </w:p>
        </w:tc>
        <w:tc>
          <w:tcPr>
            <w:tcW w:w="4604" w:type="dxa"/>
          </w:tcPr>
          <w:p w:rsidR="00CC445E" w:rsidRPr="00671AF5" w:rsidRDefault="00DD679B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1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Портал відкритих даних</w:t>
            </w:r>
          </w:p>
          <w:p w:rsidR="00E30093" w:rsidRPr="00CC445E" w:rsidRDefault="00E30093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F464F" w:rsidTr="00532833">
        <w:tc>
          <w:tcPr>
            <w:tcW w:w="594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3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інформація запитується?</w:t>
            </w:r>
          </w:p>
        </w:tc>
        <w:tc>
          <w:tcPr>
            <w:tcW w:w="4604" w:type="dxa"/>
          </w:tcPr>
          <w:p w:rsidR="004F1673" w:rsidRPr="004F1673" w:rsidRDefault="00671AF5" w:rsidP="004F1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671A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нформація щодо </w:t>
            </w:r>
            <w:r w:rsidR="00C25213" w:rsidRPr="00401CC1">
              <w:rPr>
                <w:rFonts w:ascii="Times New Roman" w:hAnsi="Times New Roman"/>
                <w:sz w:val="28"/>
                <w:szCs w:val="28"/>
              </w:rPr>
              <w:t>декларацій відповідності матеріально-технічної бази вимогам законодавства з питань охорони праці</w:t>
            </w:r>
          </w:p>
          <w:p w:rsidR="00CC445E" w:rsidRDefault="00CC445E" w:rsidP="00671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64F" w:rsidTr="00532833">
        <w:tc>
          <w:tcPr>
            <w:tcW w:w="594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43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якого виду інформації з обмеженим доступом відноситься запитувана інформація (конфіденційна, службова, таємна)?</w:t>
            </w:r>
          </w:p>
        </w:tc>
        <w:tc>
          <w:tcPr>
            <w:tcW w:w="4604" w:type="dxa"/>
          </w:tcPr>
          <w:p w:rsidR="00CC445E" w:rsidRPr="004F1673" w:rsidRDefault="00532833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1B2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відноситься до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таємної або </w:t>
            </w:r>
            <w:r w:rsidRPr="001B2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конфіденційної інформації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інформації з обмеженим доступом</w:t>
            </w:r>
            <w:r w:rsidRPr="004F1673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</w:tc>
      </w:tr>
      <w:tr w:rsidR="00AF464F" w:rsidTr="00532833">
        <w:tc>
          <w:tcPr>
            <w:tcW w:w="594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чому полягає правомірний інтерес для обмеження доступу?</w:t>
            </w:r>
          </w:p>
        </w:tc>
        <w:tc>
          <w:tcPr>
            <w:tcW w:w="4604" w:type="dxa"/>
          </w:tcPr>
          <w:p w:rsidR="00E30093" w:rsidRPr="00C25213" w:rsidRDefault="00125D84" w:rsidP="00FE7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5213">
              <w:rPr>
                <w:rFonts w:ascii="Times New Roman" w:hAnsi="Times New Roman"/>
                <w:sz w:val="28"/>
                <w:szCs w:val="28"/>
              </w:rPr>
              <w:t>Відкрита інформація щ</w:t>
            </w:r>
            <w:r w:rsidR="00FE75EE">
              <w:rPr>
                <w:rFonts w:ascii="Times New Roman" w:hAnsi="Times New Roman"/>
                <w:sz w:val="28"/>
                <w:szCs w:val="28"/>
              </w:rPr>
              <w:t>одо найменування та адреси місцезнаходження</w:t>
            </w:r>
            <w:r w:rsidRPr="00C25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C2EDF" w:rsidRPr="00C25213"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 w:rsidR="00C25213" w:rsidRPr="00C25213">
              <w:rPr>
                <w:rFonts w:ascii="Times New Roman" w:hAnsi="Times New Roman"/>
                <w:sz w:val="28"/>
                <w:szCs w:val="28"/>
              </w:rPr>
              <w:t>набу</w:t>
            </w:r>
            <w:r w:rsidR="00A56E14">
              <w:rPr>
                <w:rFonts w:ascii="Times New Roman" w:hAnsi="Times New Roman"/>
                <w:sz w:val="28"/>
                <w:szCs w:val="28"/>
              </w:rPr>
              <w:t>ли</w:t>
            </w:r>
            <w:r w:rsidR="00C25213" w:rsidRPr="00C25213">
              <w:rPr>
                <w:rFonts w:ascii="Times New Roman" w:hAnsi="Times New Roman"/>
                <w:sz w:val="28"/>
                <w:szCs w:val="28"/>
              </w:rPr>
              <w:t xml:space="preserve"> право</w:t>
            </w:r>
            <w:r w:rsidR="00C252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213" w:rsidRPr="00C25213">
              <w:rPr>
                <w:rFonts w:ascii="Times New Roman" w:hAnsi="Times New Roman"/>
                <w:sz w:val="28"/>
                <w:szCs w:val="28"/>
              </w:rPr>
              <w:t>на виконання робіт підвищеної небезпеки та експлуатацію (застосування) машин, механізмів та устаткування підвищеної небезпеки на підставі декларації відповідності матеріально-технічної бази вимогам законодавства з охорони праці</w:t>
            </w:r>
            <w:r w:rsidR="00FE75EE">
              <w:rPr>
                <w:rFonts w:ascii="Times New Roman" w:hAnsi="Times New Roman"/>
                <w:sz w:val="28"/>
                <w:szCs w:val="28"/>
              </w:rPr>
              <w:t xml:space="preserve"> та об’єктів на яких виконуються такі роботи або експлуатуються такі машини</w:t>
            </w:r>
            <w:r w:rsidR="00C25213" w:rsidRPr="00C252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25213">
              <w:rPr>
                <w:rFonts w:ascii="Times New Roman" w:hAnsi="Times New Roman"/>
                <w:sz w:val="28"/>
                <w:szCs w:val="28"/>
              </w:rPr>
              <w:t xml:space="preserve">може бути використана ворогом. </w:t>
            </w:r>
          </w:p>
        </w:tc>
      </w:tr>
      <w:tr w:rsidR="00AF464F" w:rsidTr="00532833">
        <w:tc>
          <w:tcPr>
            <w:tcW w:w="594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dxa"/>
          </w:tcPr>
          <w:p w:rsidR="00CC445E" w:rsidRDefault="0057109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істотна шкода може бути завдана правомірному інтересу?</w:t>
            </w:r>
          </w:p>
        </w:tc>
        <w:tc>
          <w:tcPr>
            <w:tcW w:w="4604" w:type="dxa"/>
          </w:tcPr>
          <w:p w:rsidR="00FE75EE" w:rsidRDefault="003C2EDF" w:rsidP="00FE7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разі опублікування </w:t>
            </w:r>
            <w:r w:rsidR="00E30093" w:rsidRPr="00E30093">
              <w:rPr>
                <w:rFonts w:ascii="Times New Roman" w:hAnsi="Times New Roman" w:cs="Times New Roman"/>
                <w:sz w:val="28"/>
                <w:szCs w:val="28"/>
              </w:rPr>
              <w:t>інформа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ції про </w:t>
            </w:r>
            <w:r w:rsidR="00532833">
              <w:rPr>
                <w:rFonts w:ascii="Times New Roman" w:hAnsi="Times New Roman" w:cs="Times New Roman"/>
                <w:sz w:val="28"/>
                <w:szCs w:val="28"/>
              </w:rPr>
              <w:t>суб’єктів господарювання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>, що зареєстрували декларацію відповідності матеріально-технічної бази вимогам законодавства з питань охорони праці (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найменування, місцезнаходження суб’єктів господарювання та адреси 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місця виконання робіт або експлуатації (застосування) машин, механізмів. устатковання підвищеної небезпеки),</w:t>
            </w:r>
            <w:r w:rsidR="00FE75EE" w:rsidRPr="00E30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 xml:space="preserve">ворог може використати 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 xml:space="preserve">цю 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>інформацію для диверсій, терористичних атак тощо, що в свою чергу може призвести до</w:t>
            </w:r>
            <w:r w:rsidR="00FE75EE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E75EE" w:rsidRPr="003C2E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знищення, пошкодження або </w:t>
            </w:r>
            <w:r w:rsidR="00FE7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порушення функціонування об’єктів та</w:t>
            </w:r>
            <w:r w:rsidR="00FE75EE" w:rsidRPr="003C2E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>завдати значних матеріальних та людських втрат</w:t>
            </w:r>
            <w:r w:rsidR="00FE75EE" w:rsidRPr="001B2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E75EE" w:rsidRDefault="00FE75EE" w:rsidP="00FE7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Опублікування інформації про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F47F1">
              <w:rPr>
                <w:rFonts w:ascii="Times New Roman" w:hAnsi="Times New Roman"/>
                <w:sz w:val="28"/>
                <w:szCs w:val="28"/>
              </w:rPr>
              <w:t>еєстраційн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1F47F1">
              <w:rPr>
                <w:rFonts w:ascii="Times New Roman" w:hAnsi="Times New Roman"/>
                <w:sz w:val="28"/>
                <w:szCs w:val="28"/>
              </w:rPr>
              <w:t xml:space="preserve"> номер облікової картки платника податків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який є інформацією із обмеженим доступом може завдати шкоди правам та інтересам особи.</w:t>
            </w:r>
          </w:p>
          <w:p w:rsidR="00D701B2" w:rsidRDefault="00D701B2" w:rsidP="00FE7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33" w:rsidTr="00532833">
        <w:tc>
          <w:tcPr>
            <w:tcW w:w="594" w:type="dxa"/>
          </w:tcPr>
          <w:p w:rsidR="00532833" w:rsidRDefault="00532833" w:rsidP="00532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431" w:type="dxa"/>
          </w:tcPr>
          <w:p w:rsidR="00532833" w:rsidRDefault="00532833" w:rsidP="0053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ймовірність настання шкоди внаслідок надання доступу до інформації?</w:t>
            </w:r>
          </w:p>
        </w:tc>
        <w:tc>
          <w:tcPr>
            <w:tcW w:w="4604" w:type="dxa"/>
          </w:tcPr>
          <w:p w:rsidR="00532833" w:rsidRDefault="00532833" w:rsidP="0053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Реальний шанс настання шкоди</w:t>
            </w:r>
          </w:p>
          <w:p w:rsidR="00532833" w:rsidRDefault="00532833" w:rsidP="0053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33" w:rsidTr="00532833">
        <w:tc>
          <w:tcPr>
            <w:tcW w:w="594" w:type="dxa"/>
          </w:tcPr>
          <w:p w:rsidR="00532833" w:rsidRDefault="00532833" w:rsidP="00532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dxa"/>
          </w:tcPr>
          <w:p w:rsidR="00532833" w:rsidRDefault="00532833" w:rsidP="005328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суспільний інтерес в доступі до інформації?</w:t>
            </w:r>
          </w:p>
        </w:tc>
        <w:tc>
          <w:tcPr>
            <w:tcW w:w="4604" w:type="dxa"/>
          </w:tcPr>
          <w:p w:rsidR="00532833" w:rsidRDefault="00532833" w:rsidP="0053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Інтерес максимальної відкритості інформації, якою володіють розпорядники.</w:t>
            </w:r>
          </w:p>
          <w:p w:rsidR="00532833" w:rsidRDefault="00532833" w:rsidP="0053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Питання наявності права проводити роботи підвищеної небезпеки та/або експлуатувати обладнання , машини, механізми підвищеної небезпеки, які впливають на життя та здоров’я працівників та оточуюче середовище.</w:t>
            </w:r>
          </w:p>
          <w:p w:rsidR="00532833" w:rsidRDefault="00532833" w:rsidP="0053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532833">
        <w:tc>
          <w:tcPr>
            <w:tcW w:w="594" w:type="dxa"/>
          </w:tcPr>
          <w:p w:rsidR="0053622A" w:rsidRDefault="00AF464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dxa"/>
          </w:tcPr>
          <w:p w:rsidR="0053622A" w:rsidRDefault="00AF464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Доводи на користь обмеження і надання доступу</w:t>
            </w:r>
          </w:p>
        </w:tc>
        <w:tc>
          <w:tcPr>
            <w:tcW w:w="4604" w:type="dxa"/>
          </w:tcPr>
          <w:p w:rsidR="005773FC" w:rsidRPr="002C673C" w:rsidRDefault="005773FC" w:rsidP="005773FC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підставі листів Прем’єр-Міністра України з грифом «Для службового користування» від 09.05.2022 № 479/1/</w:t>
            </w:r>
            <w:r w:rsidR="0011474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22, від 19.08.2022 № 80</w:t>
            </w:r>
            <w:r w:rsidR="00114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/2/1-22-ДСК, пункту 4 Постанови Кабінету Міністрів України від 12.03.2022 № 263 «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Деякі питання забезпечення функціонування інформаційно-комунікаційних систем, електронних комунікаційних систем, публічних електронних реєстрів в умовах воєнного стану» </w:t>
            </w:r>
            <w:r w:rsidRPr="00010191">
              <w:rPr>
                <w:rFonts w:ascii="Times New Roman" w:hAnsi="Times New Roman" w:cs="Times New Roman"/>
                <w:sz w:val="28"/>
                <w:szCs w:val="28"/>
              </w:rPr>
              <w:t xml:space="preserve">на період дії </w:t>
            </w:r>
            <w:r w:rsidRPr="00010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воєнного стану, інші центральні органи виконавчої влади, державні підприємства, що належать до сфери їх управління, для забезпечення належного функціонування інформаційних, інформаційно-комунікаційних та електронних комунікаційних систем, публічних електронних реєстрів, володільцями (держателями) та/або адміністраторами яких вони є, та захисту інформації, що обробляється в них, а також захисту державних інформаційних ресурсів, можуть зупиняти, обмежувати роботу інформаційних, інформаційно-комунікаційних та електронних комунікаційних систем, а також публічних електронних реєстрів.</w:t>
            </w:r>
          </w:p>
          <w:p w:rsidR="00E77424" w:rsidRDefault="002C673C" w:rsidP="002C673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 рекомендаціями Міністерства цифрової трансформації України щодо переліку наборів даних які підлягають оприлюдненню у формі відкритих даних на Єдиному державному веб-порталі відкритих даних. </w:t>
            </w:r>
          </w:p>
          <w:p w:rsidR="002C673C" w:rsidRPr="002C673C" w:rsidRDefault="002C673C" w:rsidP="002C673C">
            <w:pPr>
              <w:shd w:val="clear" w:color="auto" w:fill="FFFFFF"/>
              <w:spacing w:before="150" w:after="150"/>
              <w:ind w:right="-92" w:firstLine="4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673C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період дії на всій території України правового режиму воєнного стану, розпорядники інформації можуть, відповідно до статті 6 Закону України «Про доступ до публічної інформації», тимчасово оприлюднювати набори даних які підлягають оприлюдненню у формі відкритих даних на Єдиному державному веб-порталі відкритих даних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без інформації про:</w:t>
            </w:r>
          </w:p>
          <w:p w:rsidR="002C673C" w:rsidRPr="002C673C" w:rsidRDefault="002C673C" w:rsidP="002C673C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найменування та адреси місц</w:t>
            </w:r>
            <w:r w:rsidR="00114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розташування об’єктів критичної інфраструктури</w:t>
            </w:r>
            <w:r w:rsidRPr="00B3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C673C" w:rsidRPr="00B31EAA" w:rsidRDefault="002C673C" w:rsidP="002C673C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найменування та адреси місц</w:t>
            </w:r>
            <w:r w:rsidR="00114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розташування військових частин та формувань Збройних Сил України,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правоохоронних органів, Служби безпеки України, розвідувальних органів України, державної спеціальної служби транспорту, Управління державної охорони України, Державної служби спеціального зв’язку та захисту інформації України, Міністерства з питань стратегічних галузей промисловості України.</w:t>
            </w:r>
          </w:p>
          <w:p w:rsidR="002C673C" w:rsidRPr="00E77424" w:rsidRDefault="002C673C" w:rsidP="005773FC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424" w:rsidTr="00532833">
        <w:tc>
          <w:tcPr>
            <w:tcW w:w="594" w:type="dxa"/>
          </w:tcPr>
          <w:p w:rsidR="0053622A" w:rsidRDefault="006053F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31" w:type="dxa"/>
          </w:tcPr>
          <w:p w:rsidR="0053622A" w:rsidRDefault="006053F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переважає шкода від надання інформації суспільний інтерес в отриманні інформації?</w:t>
            </w:r>
          </w:p>
        </w:tc>
        <w:tc>
          <w:tcPr>
            <w:tcW w:w="4604" w:type="dxa"/>
          </w:tcPr>
          <w:p w:rsidR="00A3061D" w:rsidRDefault="008B345B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Враховуючи те, що</w:t>
            </w:r>
            <w:r w:rsidR="00A30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345B" w:rsidRDefault="008B345B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61D">
              <w:rPr>
                <w:rFonts w:ascii="Times New Roman" w:hAnsi="Times New Roman" w:cs="Times New Roman"/>
                <w:sz w:val="28"/>
                <w:szCs w:val="28"/>
              </w:rPr>
              <w:t xml:space="preserve">запитувана інформація може стосуватися </w:t>
            </w:r>
            <w:r w:rsidR="00532833">
              <w:rPr>
                <w:rFonts w:ascii="Times New Roman" w:hAnsi="Times New Roman" w:cs="Times New Roman"/>
                <w:sz w:val="28"/>
                <w:szCs w:val="28"/>
              </w:rPr>
              <w:t>широкого кола осіб</w:t>
            </w:r>
            <w:r w:rsidR="00A3061D">
              <w:rPr>
                <w:rFonts w:ascii="Times New Roman" w:hAnsi="Times New Roman" w:cs="Times New Roman"/>
                <w:sz w:val="28"/>
                <w:szCs w:val="28"/>
              </w:rPr>
              <w:t>, що є доводом на користь переваги суспільного інтересу в розкритті;</w:t>
            </w:r>
          </w:p>
          <w:p w:rsidR="00A3061D" w:rsidRDefault="00A3061D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запитувана інформація може цікавити громадських діячів, що є додатковим аргументом на користь переваги суспільного інтересу в розкритті;</w:t>
            </w:r>
          </w:p>
          <w:p w:rsidR="00532833" w:rsidRDefault="00A3061D" w:rsidP="00532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імовірності </w:t>
            </w:r>
            <w:r w:rsidR="00532833">
              <w:rPr>
                <w:rFonts w:ascii="Times New Roman" w:hAnsi="Times New Roman" w:cs="Times New Roman"/>
                <w:sz w:val="28"/>
                <w:szCs w:val="28"/>
              </w:rPr>
              <w:t>настання шкоди суспільним інтересам.</w:t>
            </w:r>
          </w:p>
          <w:p w:rsidR="00A3061D" w:rsidRDefault="00A3061D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Суспільний інтерес в наданні </w:t>
            </w:r>
            <w:r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  <w:r w:rsidR="00A56E14"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декларації</w:t>
            </w:r>
            <w:r w:rsidR="009523BB"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E14" w:rsidRPr="00532833">
              <w:rPr>
                <w:rFonts w:ascii="Times New Roman" w:hAnsi="Times New Roman"/>
                <w:sz w:val="28"/>
                <w:szCs w:val="28"/>
              </w:rPr>
              <w:t>відповідності матеріально-технічної бази вимогам законодавства з охорони праці</w:t>
            </w:r>
            <w:r w:rsidR="00A56E14"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3BB" w:rsidRPr="00532833">
              <w:rPr>
                <w:rFonts w:ascii="Times New Roman" w:hAnsi="Times New Roman" w:cs="Times New Roman"/>
                <w:sz w:val="28"/>
                <w:szCs w:val="28"/>
              </w:rPr>
              <w:t>на виконання робіт підвищеної небезпеки та експлуатацію (застосування) машин, механізмів, устаткування підвищеної небезпеки</w:t>
            </w:r>
            <w:r w:rsidRPr="0053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дати </w:t>
            </w:r>
            <w:r w:rsidR="00A56E14" w:rsidRPr="00532833">
              <w:rPr>
                <w:rFonts w:ascii="Times New Roman" w:hAnsi="Times New Roman" w:cs="Times New Roman"/>
                <w:sz w:val="28"/>
                <w:szCs w:val="28"/>
              </w:rPr>
              <w:t>її реєстрації</w:t>
            </w:r>
            <w:r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>видів робіт підвищеної небезпеки та найменування машин, механізмів, устатковання підвищеної небезпе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>декларуван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E75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 безпечності виконання та експлуатації яких задекларовано</w:t>
            </w:r>
            <w:r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переважає шкоду правомірному інтересу, яка може бути наслідком оприлюднення такої інформації.</w:t>
            </w:r>
          </w:p>
          <w:p w:rsidR="00A3061D" w:rsidRDefault="008741E4" w:rsidP="00096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Водночас частина відомостей, зокрема найменування та місцезнаходження суб’єктів господарювання, що зокрема 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виконують роботи підвищеної небезпеки та/або експлуатують (застосовують) машини, механізми, устаткування підвищеної небезпеки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напрямки діяльності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(найменування видів робіт підвищеної небезпеки та/або машин, механізмів, устатковання підвищеної небезпеки), не можуть бути надані, оскільки існує істотна шкода безпеці працівникам цих підприємств, власникам та державі від їх поширення, та перевищує суспільний інтерес в доступі. Адже йдеться про відомості, які можуть бути особливо корисним ворогу для планування ним терористичних атак (ракетні обстріли тощо).  </w:t>
            </w:r>
          </w:p>
        </w:tc>
      </w:tr>
      <w:tr w:rsidR="006053F0" w:rsidTr="00532833">
        <w:tc>
          <w:tcPr>
            <w:tcW w:w="594" w:type="dxa"/>
          </w:tcPr>
          <w:p w:rsidR="006053F0" w:rsidRDefault="009B1229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31" w:type="dxa"/>
          </w:tcPr>
          <w:p w:rsidR="006053F0" w:rsidRDefault="009B1229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Висновок</w:t>
            </w:r>
          </w:p>
        </w:tc>
        <w:tc>
          <w:tcPr>
            <w:tcW w:w="4604" w:type="dxa"/>
          </w:tcPr>
          <w:p w:rsidR="008B345B" w:rsidRDefault="00085B0D" w:rsidP="00D33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</w:t>
            </w:r>
            <w:r w:rsidR="009523BB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="00D33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E14"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номера зареєстрованої декларації </w:t>
            </w:r>
            <w:r w:rsidR="00A56E14" w:rsidRPr="00532833">
              <w:rPr>
                <w:rFonts w:ascii="Times New Roman" w:hAnsi="Times New Roman"/>
                <w:sz w:val="28"/>
                <w:szCs w:val="28"/>
              </w:rPr>
              <w:t>відповідності матеріально-технічної бази вимогам законодавства з охорони праці</w:t>
            </w:r>
            <w:r w:rsidR="00A56E14"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 на виконання робіт підвищеної небезпеки та експлуатацію (застосування) машин, механізмів, устаткування підвищеної небезпеки</w:t>
            </w:r>
            <w:r w:rsidR="00D33975" w:rsidRPr="0053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345B"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дати реєстрації, 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 робіт підвищеної небезпеки, найменування машин, механізмів, устатковання підвищеної небезпеки на виконання та експлуатацію (застосування) 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 була задекларована відповідність матеріально-технічної бази вимогам законодавства з питань охорони праці, </w:t>
            </w:r>
            <w:r w:rsidR="008B345B" w:rsidRPr="00532833">
              <w:rPr>
                <w:rFonts w:ascii="Times New Roman" w:hAnsi="Times New Roman" w:cs="Times New Roman"/>
                <w:sz w:val="28"/>
                <w:szCs w:val="28"/>
              </w:rPr>
              <w:t>не може</w:t>
            </w:r>
            <w:r w:rsidR="008B345B">
              <w:rPr>
                <w:rFonts w:ascii="Times New Roman" w:hAnsi="Times New Roman" w:cs="Times New Roman"/>
                <w:sz w:val="28"/>
                <w:szCs w:val="28"/>
              </w:rPr>
              <w:t xml:space="preserve"> бути обмежена в доступі та підлягає наданню оскільки істотна шкода, яка може бути завдана правомірним інтересам не переважає суспільний інтерес в доступі до інформації.</w:t>
            </w:r>
          </w:p>
          <w:p w:rsidR="006053F0" w:rsidRDefault="008B345B" w:rsidP="00381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п</w:t>
            </w:r>
            <w:r w:rsidR="00114741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  <w:r w:rsidR="008741E4"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та  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41E4" w:rsidRPr="00204BDF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>знаходження суб’єктів господарювання</w:t>
            </w:r>
            <w:r w:rsidR="008741E4"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що </w:t>
            </w:r>
            <w:r w:rsidR="00A56E14"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набули право на виконання робіт підвищеної </w:t>
            </w:r>
            <w:r w:rsidR="00A56E14" w:rsidRPr="00532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небезпеки та/або експлуа</w:t>
            </w:r>
            <w:r w:rsidR="00114741">
              <w:rPr>
                <w:rFonts w:ascii="Times New Roman" w:hAnsi="Times New Roman" w:cs="Times New Roman"/>
                <w:sz w:val="28"/>
                <w:szCs w:val="28"/>
              </w:rPr>
              <w:t>тації (застосу</w:t>
            </w:r>
            <w:r w:rsidR="00A56E14" w:rsidRPr="00532833">
              <w:rPr>
                <w:rFonts w:ascii="Times New Roman" w:hAnsi="Times New Roman" w:cs="Times New Roman"/>
                <w:sz w:val="28"/>
                <w:szCs w:val="28"/>
              </w:rPr>
              <w:t>вання) машин, механізмів, устаткування підвищеної небезпеки</w:t>
            </w:r>
            <w:r w:rsidR="000968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6E14" w:rsidRPr="00532833">
              <w:rPr>
                <w:rFonts w:ascii="Times New Roman" w:hAnsi="Times New Roman"/>
                <w:sz w:val="28"/>
                <w:szCs w:val="28"/>
              </w:rPr>
              <w:t>на підставі декларації відповідності матеріально-технічної бази вимогам законодавства з охорони праці</w:t>
            </w:r>
            <w:r w:rsidRPr="0053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>адреси об’єктів, де виконуються роботи або експлуатуються (застосовуються) машини, механізми, устатковання підвищеної небезпеки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8DC">
              <w:rPr>
                <w:rFonts w:ascii="Times New Roman" w:hAnsi="Times New Roman" w:cs="Times New Roman"/>
                <w:sz w:val="28"/>
                <w:szCs w:val="28"/>
              </w:rPr>
              <w:t>посилання на скановану копію зареєстрованої декларації</w:t>
            </w:r>
            <w:r w:rsidR="008741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53283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дії воєнного стану не може бути надана та підлягає обмеженню в доступі відповідно до </w:t>
            </w:r>
            <w:r w:rsidR="00532833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 w:rsidR="000968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2833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України, листів Прем’єр-Міністра України, а також </w:t>
            </w:r>
            <w:r w:rsidR="00532833"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рекомендацій </w:t>
            </w:r>
            <w:proofErr w:type="spellStart"/>
            <w:r w:rsidR="00532833" w:rsidRPr="00204BDF">
              <w:rPr>
                <w:rFonts w:ascii="Times New Roman" w:hAnsi="Times New Roman" w:cs="Times New Roman"/>
                <w:sz w:val="28"/>
                <w:szCs w:val="28"/>
              </w:rPr>
              <w:t>Мінцифри</w:t>
            </w:r>
            <w:proofErr w:type="spellEnd"/>
          </w:p>
        </w:tc>
      </w:tr>
    </w:tbl>
    <w:p w:rsidR="00D918FC" w:rsidRPr="00B109E8" w:rsidRDefault="00D918FC" w:rsidP="00B109E8">
      <w:pPr>
        <w:rPr>
          <w:rFonts w:ascii="Times New Roman" w:hAnsi="Times New Roman" w:cs="Times New Roman"/>
        </w:rPr>
      </w:pPr>
    </w:p>
    <w:sectPr w:rsidR="00D918FC" w:rsidRPr="00B109E8" w:rsidSect="005773FC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E6" w:rsidRDefault="00454AE6" w:rsidP="005773FC">
      <w:pPr>
        <w:spacing w:after="0" w:line="240" w:lineRule="auto"/>
      </w:pPr>
      <w:r>
        <w:separator/>
      </w:r>
    </w:p>
  </w:endnote>
  <w:endnote w:type="continuationSeparator" w:id="0">
    <w:p w:rsidR="00454AE6" w:rsidRDefault="00454AE6" w:rsidP="0057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E6" w:rsidRDefault="00454AE6" w:rsidP="005773FC">
      <w:pPr>
        <w:spacing w:after="0" w:line="240" w:lineRule="auto"/>
      </w:pPr>
      <w:r>
        <w:separator/>
      </w:r>
    </w:p>
  </w:footnote>
  <w:footnote w:type="continuationSeparator" w:id="0">
    <w:p w:rsidR="00454AE6" w:rsidRDefault="00454AE6" w:rsidP="0057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492261"/>
      <w:docPartObj>
        <w:docPartGallery w:val="Page Numbers (Top of Page)"/>
        <w:docPartUnique/>
      </w:docPartObj>
    </w:sdtPr>
    <w:sdtEndPr/>
    <w:sdtContent>
      <w:p w:rsidR="005773FC" w:rsidRDefault="005773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0E" w:rsidRPr="0038170E">
          <w:rPr>
            <w:noProof/>
            <w:lang w:val="ru-RU"/>
          </w:rPr>
          <w:t>6</w:t>
        </w:r>
        <w:r>
          <w:fldChar w:fldCharType="end"/>
        </w:r>
      </w:p>
    </w:sdtContent>
  </w:sdt>
  <w:p w:rsidR="005773FC" w:rsidRDefault="005773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4F4"/>
    <w:multiLevelType w:val="hybridMultilevel"/>
    <w:tmpl w:val="07A0DA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6B2C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E5A86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4F5432"/>
    <w:multiLevelType w:val="hybridMultilevel"/>
    <w:tmpl w:val="47CCAE5A"/>
    <w:lvl w:ilvl="0" w:tplc="7FF2DC2C">
      <w:start w:val="1"/>
      <w:numFmt w:val="decimal"/>
      <w:lvlText w:val="%1)"/>
      <w:lvlJc w:val="left"/>
      <w:pPr>
        <w:ind w:left="888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52AB9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E8"/>
    <w:rsid w:val="00085B0D"/>
    <w:rsid w:val="000968DC"/>
    <w:rsid w:val="000B5A3C"/>
    <w:rsid w:val="00114741"/>
    <w:rsid w:val="00125D84"/>
    <w:rsid w:val="00142CC1"/>
    <w:rsid w:val="00217B0F"/>
    <w:rsid w:val="002C673C"/>
    <w:rsid w:val="00337B15"/>
    <w:rsid w:val="0038170E"/>
    <w:rsid w:val="003C2EDF"/>
    <w:rsid w:val="003F0B73"/>
    <w:rsid w:val="003F1558"/>
    <w:rsid w:val="003F42E4"/>
    <w:rsid w:val="00454AE6"/>
    <w:rsid w:val="004D3BD1"/>
    <w:rsid w:val="004F1673"/>
    <w:rsid w:val="005116F2"/>
    <w:rsid w:val="00532833"/>
    <w:rsid w:val="0053622A"/>
    <w:rsid w:val="00556922"/>
    <w:rsid w:val="00565867"/>
    <w:rsid w:val="00571090"/>
    <w:rsid w:val="005773FC"/>
    <w:rsid w:val="005E7BED"/>
    <w:rsid w:val="005F0648"/>
    <w:rsid w:val="006053F0"/>
    <w:rsid w:val="006626B0"/>
    <w:rsid w:val="00671AF5"/>
    <w:rsid w:val="006A1AFB"/>
    <w:rsid w:val="00796EE2"/>
    <w:rsid w:val="007F6340"/>
    <w:rsid w:val="008256C6"/>
    <w:rsid w:val="0086596E"/>
    <w:rsid w:val="008741E4"/>
    <w:rsid w:val="008B345B"/>
    <w:rsid w:val="009136D7"/>
    <w:rsid w:val="0093235E"/>
    <w:rsid w:val="009523BB"/>
    <w:rsid w:val="009978F1"/>
    <w:rsid w:val="009B1229"/>
    <w:rsid w:val="009F54CB"/>
    <w:rsid w:val="00A3061D"/>
    <w:rsid w:val="00A56E14"/>
    <w:rsid w:val="00A60249"/>
    <w:rsid w:val="00A74037"/>
    <w:rsid w:val="00AB4FC7"/>
    <w:rsid w:val="00AF464F"/>
    <w:rsid w:val="00AF4F53"/>
    <w:rsid w:val="00B109E8"/>
    <w:rsid w:val="00B31EAA"/>
    <w:rsid w:val="00BD33ED"/>
    <w:rsid w:val="00C25213"/>
    <w:rsid w:val="00CC445E"/>
    <w:rsid w:val="00CF755F"/>
    <w:rsid w:val="00D1136F"/>
    <w:rsid w:val="00D33975"/>
    <w:rsid w:val="00D701B2"/>
    <w:rsid w:val="00D918FC"/>
    <w:rsid w:val="00DA4EC5"/>
    <w:rsid w:val="00DD679B"/>
    <w:rsid w:val="00E30093"/>
    <w:rsid w:val="00E666BD"/>
    <w:rsid w:val="00E77424"/>
    <w:rsid w:val="00E92632"/>
    <w:rsid w:val="00F53637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21F9"/>
  <w15:chartTrackingRefBased/>
  <w15:docId w15:val="{973CC2C9-D1FD-468E-9461-2E691309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3235E"/>
  </w:style>
  <w:style w:type="character" w:customStyle="1" w:styleId="rvts46">
    <w:name w:val="rvts46"/>
    <w:basedOn w:val="a0"/>
    <w:rsid w:val="0093235E"/>
  </w:style>
  <w:style w:type="character" w:styleId="a3">
    <w:name w:val="Hyperlink"/>
    <w:basedOn w:val="a0"/>
    <w:uiPriority w:val="99"/>
    <w:semiHidden/>
    <w:unhideWhenUsed/>
    <w:rsid w:val="009323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45E"/>
    <w:pPr>
      <w:ind w:left="720"/>
      <w:contextualSpacing/>
    </w:pPr>
  </w:style>
  <w:style w:type="table" w:styleId="a5">
    <w:name w:val="Table Grid"/>
    <w:basedOn w:val="a1"/>
    <w:uiPriority w:val="39"/>
    <w:rsid w:val="00CC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73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73FC"/>
  </w:style>
  <w:style w:type="paragraph" w:styleId="aa">
    <w:name w:val="footer"/>
    <w:basedOn w:val="a"/>
    <w:link w:val="ab"/>
    <w:uiPriority w:val="99"/>
    <w:unhideWhenUsed/>
    <w:rsid w:val="005773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02AF-231B-4566-9093-994D5A0E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4810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2024-02-09T13:47:00Z</cp:lastPrinted>
  <dcterms:created xsi:type="dcterms:W3CDTF">2024-04-05T11:38:00Z</dcterms:created>
  <dcterms:modified xsi:type="dcterms:W3CDTF">2024-04-05T12:38:00Z</dcterms:modified>
</cp:coreProperties>
</file>