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8" w:rsidRDefault="003B1268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</w:p>
    <w:p w:rsidR="00304548" w:rsidRPr="00685D80" w:rsidRDefault="006D109C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bookmarkStart w:id="0" w:name="_GoBack"/>
      <w:r w:rsidRPr="00685D80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685D80" w:rsidRDefault="001247E0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685D80">
        <w:rPr>
          <w:b/>
          <w:bCs/>
          <w:spacing w:val="-9"/>
          <w:sz w:val="28"/>
          <w:szCs w:val="28"/>
          <w:lang w:val="uk-UA"/>
        </w:rPr>
        <w:t xml:space="preserve">про </w:t>
      </w:r>
      <w:r w:rsidR="00F4547D" w:rsidRPr="00685D80">
        <w:rPr>
          <w:b/>
          <w:bCs/>
          <w:spacing w:val="-9"/>
          <w:sz w:val="28"/>
          <w:szCs w:val="28"/>
          <w:lang w:val="uk-UA"/>
        </w:rPr>
        <w:t xml:space="preserve">повторне </w:t>
      </w:r>
      <w:r w:rsidRPr="00685D80">
        <w:rPr>
          <w:b/>
          <w:bCs/>
          <w:spacing w:val="-9"/>
          <w:sz w:val="28"/>
          <w:szCs w:val="28"/>
          <w:lang w:val="uk-UA"/>
        </w:rPr>
        <w:t>відстеження результативності</w:t>
      </w:r>
    </w:p>
    <w:p w:rsidR="006D109C" w:rsidRPr="00685D80" w:rsidRDefault="00D33FA5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685D80">
        <w:rPr>
          <w:b/>
          <w:sz w:val="28"/>
          <w:szCs w:val="28"/>
          <w:lang w:val="uk-UA"/>
        </w:rPr>
        <w:t xml:space="preserve">наказу Міністерства </w:t>
      </w:r>
      <w:r w:rsidR="00BC1EEA" w:rsidRPr="00685D80">
        <w:rPr>
          <w:b/>
          <w:sz w:val="28"/>
          <w:szCs w:val="28"/>
          <w:lang w:val="uk-UA"/>
        </w:rPr>
        <w:t>економіки</w:t>
      </w:r>
      <w:r w:rsidRPr="00685D80">
        <w:rPr>
          <w:b/>
          <w:sz w:val="28"/>
          <w:szCs w:val="28"/>
          <w:lang w:val="uk-UA"/>
        </w:rPr>
        <w:t xml:space="preserve"> України </w:t>
      </w:r>
      <w:r w:rsidR="001D2BD9" w:rsidRPr="00685D80">
        <w:rPr>
          <w:b/>
          <w:sz w:val="28"/>
          <w:szCs w:val="28"/>
          <w:lang w:val="uk-UA"/>
        </w:rPr>
        <w:t>«</w:t>
      </w:r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затвердження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Вимог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експертних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організацій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мають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намір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виконувати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виконують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експертизу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стану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охорони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промислового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виробництва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щодо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відповідності машин,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механізмів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устаткування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підвищеної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небезпеки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вимогам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законодавства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охорону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промислової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E21E46" w:rsidRPr="00685D80">
        <w:rPr>
          <w:rStyle w:val="rvts23"/>
          <w:b/>
          <w:sz w:val="28"/>
          <w:szCs w:val="28"/>
          <w:lang w:val="uk-UA"/>
        </w:rPr>
        <w:t>»</w:t>
      </w:r>
      <w:r w:rsidR="00625109" w:rsidRPr="00685D80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685D80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685D80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85D80">
        <w:rPr>
          <w:b/>
          <w:bCs/>
          <w:sz w:val="28"/>
          <w:szCs w:val="28"/>
          <w:lang w:val="uk-UA"/>
        </w:rPr>
        <w:t xml:space="preserve">1. Вид та назва регуляторного </w:t>
      </w:r>
      <w:proofErr w:type="spellStart"/>
      <w:r w:rsidRPr="00685D80">
        <w:rPr>
          <w:b/>
          <w:bCs/>
          <w:sz w:val="28"/>
          <w:szCs w:val="28"/>
          <w:lang w:val="uk-UA"/>
        </w:rPr>
        <w:t>акта</w:t>
      </w:r>
      <w:proofErr w:type="spellEnd"/>
      <w:r w:rsidRPr="00685D80">
        <w:rPr>
          <w:b/>
          <w:bCs/>
          <w:sz w:val="28"/>
          <w:szCs w:val="28"/>
          <w:lang w:val="uk-UA"/>
        </w:rPr>
        <w:t xml:space="preserve">, результативність </w:t>
      </w:r>
      <w:r w:rsidR="00AD79E7" w:rsidRPr="00685D80">
        <w:rPr>
          <w:b/>
          <w:bCs/>
          <w:sz w:val="28"/>
          <w:szCs w:val="28"/>
          <w:lang w:val="uk-UA"/>
        </w:rPr>
        <w:t>якого відстежується</w:t>
      </w:r>
    </w:p>
    <w:p w:rsidR="00C9295F" w:rsidRPr="00685D80" w:rsidRDefault="00D33FA5" w:rsidP="00C9295F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Наказ </w:t>
      </w:r>
      <w:r w:rsidR="00C70761" w:rsidRPr="00685D80">
        <w:rPr>
          <w:sz w:val="28"/>
          <w:szCs w:val="28"/>
          <w:lang w:val="uk-UA"/>
        </w:rPr>
        <w:t xml:space="preserve">Міністерства економіки України від </w:t>
      </w:r>
      <w:r w:rsidR="00BC1EEA" w:rsidRPr="00685D80">
        <w:rPr>
          <w:sz w:val="28"/>
          <w:szCs w:val="28"/>
          <w:lang w:val="uk-UA"/>
        </w:rPr>
        <w:t>06</w:t>
      </w:r>
      <w:r w:rsidR="00C70761" w:rsidRPr="00685D80">
        <w:rPr>
          <w:sz w:val="28"/>
          <w:szCs w:val="28"/>
          <w:lang w:val="uk-UA"/>
        </w:rPr>
        <w:t>.0</w:t>
      </w:r>
      <w:r w:rsidR="00BC1EEA" w:rsidRPr="00685D80">
        <w:rPr>
          <w:sz w:val="28"/>
          <w:szCs w:val="28"/>
          <w:lang w:val="uk-UA"/>
        </w:rPr>
        <w:t>1</w:t>
      </w:r>
      <w:r w:rsidR="00C70761" w:rsidRPr="00685D80">
        <w:rPr>
          <w:sz w:val="28"/>
          <w:szCs w:val="28"/>
          <w:lang w:val="uk-UA"/>
        </w:rPr>
        <w:t>.202</w:t>
      </w:r>
      <w:r w:rsidR="00BC1EEA" w:rsidRPr="00685D80">
        <w:rPr>
          <w:sz w:val="28"/>
          <w:szCs w:val="28"/>
          <w:lang w:val="uk-UA"/>
        </w:rPr>
        <w:t>2</w:t>
      </w:r>
      <w:r w:rsidR="00C70761" w:rsidRPr="00685D80">
        <w:rPr>
          <w:sz w:val="28"/>
          <w:szCs w:val="28"/>
          <w:lang w:val="uk-UA"/>
        </w:rPr>
        <w:t xml:space="preserve"> № </w:t>
      </w:r>
      <w:r w:rsidR="00BC1EEA" w:rsidRPr="00685D80">
        <w:rPr>
          <w:sz w:val="28"/>
          <w:szCs w:val="28"/>
          <w:lang w:val="uk-UA"/>
        </w:rPr>
        <w:t>34</w:t>
      </w:r>
      <w:r w:rsidR="00C70761" w:rsidRPr="00685D80">
        <w:rPr>
          <w:sz w:val="28"/>
          <w:szCs w:val="28"/>
          <w:lang w:val="uk-UA"/>
        </w:rPr>
        <w:t>-2</w:t>
      </w:r>
      <w:r w:rsidR="00BC1EEA" w:rsidRPr="00685D80">
        <w:rPr>
          <w:sz w:val="28"/>
          <w:szCs w:val="28"/>
          <w:lang w:val="uk-UA"/>
        </w:rPr>
        <w:t>2</w:t>
      </w:r>
      <w:r w:rsidR="00AD79E7" w:rsidRPr="00685D80">
        <w:rPr>
          <w:sz w:val="28"/>
          <w:szCs w:val="28"/>
          <w:lang w:val="uk-UA"/>
        </w:rPr>
        <w:br/>
      </w:r>
      <w:r w:rsidR="00C9295F" w:rsidRPr="00685D80">
        <w:rPr>
          <w:sz w:val="28"/>
          <w:szCs w:val="28"/>
          <w:lang w:val="uk-UA"/>
        </w:rPr>
        <w:t>«</w:t>
      </w:r>
      <w:r w:rsidR="00BC1EEA" w:rsidRPr="00685D80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Вимог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експертних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організацій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які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мають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намір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виконувати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виконують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експертизу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стану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промислового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виробництва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відповідності машин,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механізмів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устаткування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підвищеної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небезпеки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законодавства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охорону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промислової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="00C9295F" w:rsidRPr="00685D80">
        <w:rPr>
          <w:sz w:val="28"/>
          <w:szCs w:val="28"/>
          <w:lang w:val="uk-UA"/>
        </w:rPr>
        <w:t xml:space="preserve">», </w:t>
      </w:r>
      <w:r w:rsidR="00C70761" w:rsidRPr="00685D80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BC1EEA" w:rsidRPr="00685D80">
        <w:rPr>
          <w:sz w:val="28"/>
          <w:szCs w:val="28"/>
          <w:lang w:val="uk-UA"/>
        </w:rPr>
        <w:t>01.02</w:t>
      </w:r>
      <w:r w:rsidR="00C70761" w:rsidRPr="00685D80">
        <w:rPr>
          <w:sz w:val="28"/>
          <w:szCs w:val="28"/>
          <w:lang w:val="uk-UA"/>
        </w:rPr>
        <w:t>.202</w:t>
      </w:r>
      <w:r w:rsidR="00BC1EEA" w:rsidRPr="00685D80">
        <w:rPr>
          <w:sz w:val="28"/>
          <w:szCs w:val="28"/>
          <w:lang w:val="uk-UA"/>
        </w:rPr>
        <w:t>2</w:t>
      </w:r>
      <w:r w:rsidR="00C70761" w:rsidRPr="00685D80">
        <w:rPr>
          <w:sz w:val="28"/>
          <w:szCs w:val="28"/>
          <w:lang w:val="uk-UA"/>
        </w:rPr>
        <w:t xml:space="preserve"> за № </w:t>
      </w:r>
      <w:r w:rsidR="00BC1EEA" w:rsidRPr="00685D80">
        <w:rPr>
          <w:bCs/>
          <w:sz w:val="28"/>
          <w:szCs w:val="28"/>
          <w:shd w:val="clear" w:color="auto" w:fill="FFFFFF"/>
        </w:rPr>
        <w:t>118/37454</w:t>
      </w:r>
      <w:r w:rsidR="002D7949" w:rsidRPr="00685D80">
        <w:rPr>
          <w:sz w:val="28"/>
          <w:szCs w:val="28"/>
          <w:lang w:val="uk-UA"/>
        </w:rPr>
        <w:t>.</w:t>
      </w:r>
    </w:p>
    <w:p w:rsidR="00696778" w:rsidRPr="00685D80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685D80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685D80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685D80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685D80">
        <w:rPr>
          <w:spacing w:val="-3"/>
          <w:sz w:val="28"/>
          <w:szCs w:val="28"/>
          <w:lang w:val="uk-UA"/>
        </w:rPr>
        <w:t>.</w:t>
      </w:r>
    </w:p>
    <w:p w:rsidR="00A06A9D" w:rsidRPr="00685D80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685D80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85D80">
        <w:rPr>
          <w:b/>
          <w:bCs/>
          <w:sz w:val="28"/>
          <w:szCs w:val="28"/>
          <w:lang w:val="uk-UA"/>
        </w:rPr>
        <w:t>3. Ці</w:t>
      </w:r>
      <w:r w:rsidR="00AD79E7" w:rsidRPr="00685D80">
        <w:rPr>
          <w:b/>
          <w:bCs/>
          <w:sz w:val="28"/>
          <w:szCs w:val="28"/>
          <w:lang w:val="uk-UA"/>
        </w:rPr>
        <w:t xml:space="preserve">ль прийняття регуляторного </w:t>
      </w:r>
      <w:proofErr w:type="spellStart"/>
      <w:r w:rsidR="00AD79E7" w:rsidRPr="00685D80">
        <w:rPr>
          <w:b/>
          <w:bCs/>
          <w:sz w:val="28"/>
          <w:szCs w:val="28"/>
          <w:lang w:val="uk-UA"/>
        </w:rPr>
        <w:t>акта</w:t>
      </w:r>
      <w:proofErr w:type="spellEnd"/>
    </w:p>
    <w:p w:rsidR="007326B7" w:rsidRPr="00685D80" w:rsidRDefault="007326B7" w:rsidP="007326B7">
      <w:pPr>
        <w:ind w:firstLine="720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Приведення діючого нормативно-правового </w:t>
      </w:r>
      <w:proofErr w:type="spellStart"/>
      <w:r w:rsidRPr="00685D80">
        <w:rPr>
          <w:sz w:val="28"/>
          <w:szCs w:val="28"/>
          <w:lang w:val="uk-UA"/>
        </w:rPr>
        <w:t>акта</w:t>
      </w:r>
      <w:proofErr w:type="spellEnd"/>
      <w:r w:rsidRPr="00685D80">
        <w:rPr>
          <w:sz w:val="28"/>
          <w:szCs w:val="28"/>
          <w:lang w:val="uk-UA"/>
        </w:rPr>
        <w:t xml:space="preserve"> у відповідність до вимог законодавства та запровадження механізму надання висновку експертизи стану охорони праці в електронній формі.</w:t>
      </w:r>
    </w:p>
    <w:p w:rsidR="00696778" w:rsidRPr="00685D80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685D80">
        <w:rPr>
          <w:b/>
          <w:bCs/>
          <w:spacing w:val="-10"/>
          <w:sz w:val="28"/>
          <w:szCs w:val="28"/>
          <w:lang w:val="uk-UA"/>
        </w:rPr>
        <w:t>4.</w:t>
      </w:r>
      <w:r w:rsidR="0037641F" w:rsidRPr="00685D80">
        <w:rPr>
          <w:b/>
          <w:bCs/>
          <w:sz w:val="28"/>
          <w:szCs w:val="28"/>
          <w:lang w:val="uk-UA"/>
        </w:rPr>
        <w:t xml:space="preserve"> </w:t>
      </w:r>
      <w:r w:rsidR="00721739" w:rsidRPr="00685D80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685D80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685D80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685D80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685D80">
        <w:rPr>
          <w:bCs/>
          <w:sz w:val="28"/>
          <w:szCs w:val="28"/>
          <w:lang w:val="uk-UA"/>
        </w:rPr>
        <w:t xml:space="preserve">З </w:t>
      </w:r>
      <w:r w:rsidR="00F4547D" w:rsidRPr="00685D80">
        <w:rPr>
          <w:bCs/>
          <w:sz w:val="28"/>
          <w:szCs w:val="28"/>
          <w:lang w:val="uk-UA"/>
        </w:rPr>
        <w:t>01</w:t>
      </w:r>
      <w:r w:rsidRPr="00685D80">
        <w:rPr>
          <w:sz w:val="28"/>
          <w:szCs w:val="28"/>
          <w:lang w:val="uk-UA"/>
        </w:rPr>
        <w:t>.0</w:t>
      </w:r>
      <w:r w:rsidR="00F4547D" w:rsidRPr="00685D80">
        <w:rPr>
          <w:sz w:val="28"/>
          <w:szCs w:val="28"/>
          <w:lang w:val="uk-UA"/>
        </w:rPr>
        <w:t>2</w:t>
      </w:r>
      <w:r w:rsidRPr="00685D80">
        <w:rPr>
          <w:sz w:val="28"/>
          <w:szCs w:val="28"/>
          <w:lang w:val="uk-UA"/>
        </w:rPr>
        <w:t>.20</w:t>
      </w:r>
      <w:r w:rsidR="004156BF" w:rsidRPr="00685D80">
        <w:rPr>
          <w:sz w:val="28"/>
          <w:szCs w:val="28"/>
          <w:lang w:val="uk-UA"/>
        </w:rPr>
        <w:t>2</w:t>
      </w:r>
      <w:r w:rsidR="00F4547D" w:rsidRPr="00685D80">
        <w:rPr>
          <w:sz w:val="28"/>
          <w:szCs w:val="28"/>
          <w:lang w:val="uk-UA"/>
        </w:rPr>
        <w:t>4</w:t>
      </w:r>
      <w:r w:rsidR="00CC0EDE" w:rsidRPr="00685D80">
        <w:rPr>
          <w:sz w:val="28"/>
          <w:szCs w:val="28"/>
          <w:lang w:val="uk-UA"/>
        </w:rPr>
        <w:t xml:space="preserve"> </w:t>
      </w:r>
      <w:r w:rsidR="00C44577" w:rsidRPr="00685D80">
        <w:rPr>
          <w:sz w:val="28"/>
          <w:szCs w:val="28"/>
          <w:lang w:val="uk-UA"/>
        </w:rPr>
        <w:t>д</w:t>
      </w:r>
      <w:r w:rsidR="00351668" w:rsidRPr="00685D80">
        <w:rPr>
          <w:sz w:val="28"/>
          <w:szCs w:val="28"/>
          <w:lang w:val="uk-UA"/>
        </w:rPr>
        <w:t xml:space="preserve">о </w:t>
      </w:r>
      <w:r w:rsidR="00F4547D" w:rsidRPr="00685D80">
        <w:rPr>
          <w:sz w:val="28"/>
          <w:szCs w:val="28"/>
          <w:lang w:val="uk-UA"/>
        </w:rPr>
        <w:t>16</w:t>
      </w:r>
      <w:r w:rsidRPr="00685D80">
        <w:rPr>
          <w:sz w:val="28"/>
          <w:szCs w:val="28"/>
          <w:lang w:val="uk-UA"/>
        </w:rPr>
        <w:t>.0</w:t>
      </w:r>
      <w:r w:rsidR="00F4547D" w:rsidRPr="00685D80">
        <w:rPr>
          <w:sz w:val="28"/>
          <w:szCs w:val="28"/>
          <w:lang w:val="uk-UA"/>
        </w:rPr>
        <w:t>2</w:t>
      </w:r>
      <w:r w:rsidR="00D33FA5" w:rsidRPr="00685D80">
        <w:rPr>
          <w:sz w:val="28"/>
          <w:szCs w:val="28"/>
          <w:lang w:val="uk-UA"/>
        </w:rPr>
        <w:t>.20</w:t>
      </w:r>
      <w:r w:rsidR="004156BF" w:rsidRPr="00685D80">
        <w:rPr>
          <w:sz w:val="28"/>
          <w:szCs w:val="28"/>
          <w:lang w:val="uk-UA"/>
        </w:rPr>
        <w:t>2</w:t>
      </w:r>
      <w:r w:rsidR="00F4547D" w:rsidRPr="00685D80">
        <w:rPr>
          <w:sz w:val="28"/>
          <w:szCs w:val="28"/>
          <w:lang w:val="uk-UA"/>
        </w:rPr>
        <w:t>4</w:t>
      </w:r>
    </w:p>
    <w:p w:rsidR="00696778" w:rsidRPr="00685D80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685D80">
        <w:rPr>
          <w:b/>
          <w:bCs/>
          <w:spacing w:val="-12"/>
          <w:sz w:val="28"/>
          <w:szCs w:val="28"/>
          <w:lang w:val="uk-UA"/>
        </w:rPr>
        <w:t>5.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685D80" w:rsidRDefault="00F4547D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 w:rsidRPr="00685D80">
        <w:rPr>
          <w:spacing w:val="-6"/>
          <w:sz w:val="28"/>
          <w:szCs w:val="28"/>
          <w:lang w:val="uk-UA"/>
        </w:rPr>
        <w:t>Повторне</w:t>
      </w:r>
      <w:r w:rsidR="00C44577" w:rsidRPr="00685D80">
        <w:rPr>
          <w:spacing w:val="-6"/>
          <w:sz w:val="28"/>
          <w:szCs w:val="28"/>
          <w:lang w:val="uk-UA"/>
        </w:rPr>
        <w:t xml:space="preserve"> відстеження</w:t>
      </w:r>
      <w:r w:rsidR="006D109C" w:rsidRPr="00685D80">
        <w:rPr>
          <w:spacing w:val="-3"/>
          <w:sz w:val="28"/>
          <w:szCs w:val="28"/>
          <w:lang w:val="uk-UA"/>
        </w:rPr>
        <w:t>.</w:t>
      </w:r>
    </w:p>
    <w:p w:rsidR="00696778" w:rsidRPr="00685D80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pacing w:val="-13"/>
          <w:sz w:val="28"/>
          <w:szCs w:val="28"/>
          <w:lang w:val="uk-UA"/>
        </w:rPr>
        <w:t>6.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685D80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Для проведення </w:t>
      </w:r>
      <w:r w:rsidR="00671C14" w:rsidRPr="00685D80">
        <w:rPr>
          <w:spacing w:val="-6"/>
          <w:sz w:val="28"/>
          <w:szCs w:val="28"/>
          <w:lang w:val="uk-UA"/>
        </w:rPr>
        <w:t>базового</w:t>
      </w:r>
      <w:r w:rsidR="007E5A9D" w:rsidRPr="00685D80">
        <w:rPr>
          <w:sz w:val="28"/>
          <w:szCs w:val="28"/>
          <w:lang w:val="uk-UA"/>
        </w:rPr>
        <w:t xml:space="preserve"> відстеження використано</w:t>
      </w:r>
      <w:r w:rsidRPr="00685D80">
        <w:rPr>
          <w:sz w:val="28"/>
          <w:szCs w:val="28"/>
          <w:lang w:val="uk-UA"/>
        </w:rPr>
        <w:t xml:space="preserve"> </w:t>
      </w:r>
      <w:r w:rsidR="00D56C7E" w:rsidRPr="00685D80">
        <w:rPr>
          <w:sz w:val="28"/>
          <w:szCs w:val="28"/>
          <w:lang w:val="uk-UA"/>
        </w:rPr>
        <w:t xml:space="preserve">статистичний </w:t>
      </w:r>
      <w:r w:rsidR="00AD79E7" w:rsidRPr="00685D80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685D80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pacing w:val="-15"/>
          <w:sz w:val="28"/>
          <w:szCs w:val="28"/>
          <w:lang w:val="uk-UA"/>
        </w:rPr>
        <w:t>7.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="00721739" w:rsidRPr="00685D80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685D80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685D8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685D80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685D80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685D80" w:rsidRDefault="00B1741F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>Повторне</w:t>
      </w:r>
      <w:r w:rsidR="00C70761" w:rsidRPr="00685D80">
        <w:rPr>
          <w:sz w:val="28"/>
          <w:szCs w:val="28"/>
          <w:lang w:val="uk-UA"/>
        </w:rPr>
        <w:t xml:space="preserve"> відстеження р</w:t>
      </w:r>
      <w:r w:rsidR="007A7007" w:rsidRPr="00685D80">
        <w:rPr>
          <w:sz w:val="28"/>
          <w:szCs w:val="28"/>
          <w:lang w:val="uk-UA"/>
        </w:rPr>
        <w:t xml:space="preserve">езультативності регуляторного </w:t>
      </w:r>
      <w:proofErr w:type="spellStart"/>
      <w:r w:rsidR="00C70761" w:rsidRPr="00685D80">
        <w:rPr>
          <w:sz w:val="28"/>
          <w:szCs w:val="28"/>
          <w:lang w:val="uk-UA"/>
        </w:rPr>
        <w:t>акта</w:t>
      </w:r>
      <w:proofErr w:type="spellEnd"/>
      <w:r w:rsidR="00C70761" w:rsidRPr="00685D80">
        <w:rPr>
          <w:sz w:val="28"/>
          <w:szCs w:val="28"/>
          <w:lang w:val="uk-UA"/>
        </w:rPr>
        <w:t xml:space="preserve"> </w:t>
      </w:r>
      <w:r w:rsidR="007A7007" w:rsidRPr="00685D80">
        <w:rPr>
          <w:sz w:val="28"/>
          <w:szCs w:val="28"/>
          <w:lang w:val="uk-UA"/>
        </w:rPr>
        <w:t xml:space="preserve">проведено </w:t>
      </w:r>
      <w:r w:rsidR="00C70761" w:rsidRPr="00685D80">
        <w:rPr>
          <w:sz w:val="28"/>
          <w:szCs w:val="28"/>
          <w:lang w:val="uk-UA"/>
        </w:rPr>
        <w:t xml:space="preserve">шляхом </w:t>
      </w:r>
      <w:r w:rsidR="00F24803" w:rsidRPr="00685D80">
        <w:rPr>
          <w:sz w:val="28"/>
          <w:szCs w:val="28"/>
          <w:lang w:val="uk-UA"/>
        </w:rPr>
        <w:t xml:space="preserve">порівняння з показниками базового відстеження на підставі реєстраційних даних щодо кількості повідомлень </w:t>
      </w:r>
      <w:r w:rsidR="006A40FA" w:rsidRPr="00685D80">
        <w:rPr>
          <w:sz w:val="28"/>
          <w:szCs w:val="28"/>
          <w:lang w:val="uk-UA"/>
        </w:rPr>
        <w:t xml:space="preserve">в електронній формі ( відомості про атестацію експертної організації, експертів технічних, що виконують в експертній  організації експертизу стану охорони праці та безпеки промислового виробництва, </w:t>
      </w:r>
      <w:r w:rsidR="00F24803" w:rsidRPr="00685D80">
        <w:rPr>
          <w:sz w:val="28"/>
          <w:szCs w:val="28"/>
          <w:lang w:val="uk-UA"/>
        </w:rPr>
        <w:t>висновк</w:t>
      </w:r>
      <w:r w:rsidR="006A40FA" w:rsidRPr="00685D80">
        <w:rPr>
          <w:sz w:val="28"/>
          <w:szCs w:val="28"/>
          <w:lang w:val="uk-UA"/>
        </w:rPr>
        <w:t>ів</w:t>
      </w:r>
      <w:r w:rsidR="00F24803" w:rsidRPr="00685D80">
        <w:rPr>
          <w:sz w:val="28"/>
          <w:szCs w:val="28"/>
          <w:lang w:val="uk-UA"/>
        </w:rPr>
        <w:t xml:space="preserve"> експертизи стану охорони праці та безпеки промислового виробництва</w:t>
      </w:r>
      <w:r w:rsidR="006A40FA" w:rsidRPr="00685D80">
        <w:rPr>
          <w:sz w:val="28"/>
          <w:szCs w:val="28"/>
          <w:lang w:val="uk-UA"/>
        </w:rPr>
        <w:t>)</w:t>
      </w:r>
      <w:r w:rsidR="007A7007" w:rsidRPr="00685D80">
        <w:rPr>
          <w:sz w:val="28"/>
          <w:szCs w:val="28"/>
          <w:lang w:val="uk-UA"/>
        </w:rPr>
        <w:t>.</w:t>
      </w:r>
    </w:p>
    <w:p w:rsidR="00BB233D" w:rsidRPr="00685D80" w:rsidRDefault="00BB233D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b/>
          <w:bCs/>
          <w:spacing w:val="-13"/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pacing w:val="-13"/>
          <w:sz w:val="28"/>
          <w:szCs w:val="28"/>
          <w:lang w:val="uk-UA"/>
        </w:rPr>
        <w:t>8.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6"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685D80">
        <w:rPr>
          <w:b/>
          <w:bCs/>
          <w:spacing w:val="-6"/>
          <w:sz w:val="28"/>
          <w:szCs w:val="28"/>
          <w:lang w:val="uk-UA"/>
        </w:rPr>
        <w:t>акта</w:t>
      </w:r>
      <w:proofErr w:type="spellEnd"/>
    </w:p>
    <w:p w:rsidR="00B042E2" w:rsidRPr="00685D80" w:rsidRDefault="00B042E2" w:rsidP="00B042E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Станом на січень 2024 року 48 суб’єктів господарювання мають підтверджену </w:t>
      </w:r>
      <w:r w:rsidRPr="00685D80">
        <w:rPr>
          <w:sz w:val="28"/>
          <w:szCs w:val="28"/>
          <w:lang w:val="uk-UA"/>
        </w:rPr>
        <w:lastRenderedPageBreak/>
        <w:t xml:space="preserve">компетенцію та виконують експертизу стану охорони праці та безпеки промислового виробництва. </w:t>
      </w:r>
    </w:p>
    <w:p w:rsidR="00BB233D" w:rsidRPr="00685D80" w:rsidRDefault="00BD263C" w:rsidP="00BB233D">
      <w:pPr>
        <w:tabs>
          <w:tab w:val="left" w:pos="993"/>
        </w:tabs>
        <w:ind w:firstLine="540"/>
        <w:jc w:val="both"/>
        <w:rPr>
          <w:bCs/>
          <w:sz w:val="28"/>
          <w:szCs w:val="26"/>
          <w:lang w:val="uk-UA"/>
        </w:rPr>
      </w:pPr>
      <w:r w:rsidRPr="00685D80">
        <w:rPr>
          <w:bCs/>
          <w:sz w:val="28"/>
          <w:szCs w:val="26"/>
          <w:lang w:val="uk-UA"/>
        </w:rPr>
        <w:t>К</w:t>
      </w:r>
      <w:r w:rsidR="00BB233D" w:rsidRPr="00685D80">
        <w:rPr>
          <w:bCs/>
          <w:sz w:val="28"/>
          <w:szCs w:val="26"/>
          <w:lang w:val="uk-UA"/>
        </w:rPr>
        <w:t>ількість надан</w:t>
      </w:r>
      <w:r w:rsidR="003D26C3" w:rsidRPr="00685D80">
        <w:rPr>
          <w:bCs/>
          <w:sz w:val="28"/>
          <w:szCs w:val="26"/>
          <w:lang w:val="uk-UA"/>
        </w:rPr>
        <w:t>их</w:t>
      </w:r>
      <w:r w:rsidR="00BB233D" w:rsidRPr="00685D80">
        <w:rPr>
          <w:bCs/>
          <w:sz w:val="28"/>
          <w:szCs w:val="26"/>
          <w:lang w:val="uk-UA"/>
        </w:rPr>
        <w:t xml:space="preserve"> </w:t>
      </w:r>
      <w:r w:rsidR="003D26C3" w:rsidRPr="00685D80">
        <w:rPr>
          <w:bCs/>
          <w:sz w:val="28"/>
          <w:szCs w:val="26"/>
          <w:lang w:val="uk-UA"/>
        </w:rPr>
        <w:t>експертними</w:t>
      </w:r>
      <w:r w:rsidR="003D26C3" w:rsidRPr="00685D80">
        <w:rPr>
          <w:bCs/>
          <w:sz w:val="28"/>
          <w:szCs w:val="26"/>
          <w:lang w:val="en-US"/>
        </w:rPr>
        <w:t xml:space="preserve"> </w:t>
      </w:r>
      <w:r w:rsidR="003D26C3" w:rsidRPr="00685D80">
        <w:rPr>
          <w:bCs/>
          <w:sz w:val="28"/>
          <w:szCs w:val="26"/>
          <w:lang w:val="uk-UA"/>
        </w:rPr>
        <w:t>організаціями</w:t>
      </w:r>
      <w:r w:rsidR="003D26C3" w:rsidRPr="00685D80">
        <w:rPr>
          <w:bCs/>
          <w:sz w:val="28"/>
          <w:szCs w:val="26"/>
          <w:lang w:val="en-US"/>
        </w:rPr>
        <w:t xml:space="preserve"> </w:t>
      </w:r>
      <w:r w:rsidR="006A40FA" w:rsidRPr="00685D80">
        <w:rPr>
          <w:bCs/>
          <w:sz w:val="28"/>
          <w:szCs w:val="26"/>
          <w:lang w:val="uk-UA"/>
        </w:rPr>
        <w:t xml:space="preserve">в електронній формі </w:t>
      </w:r>
      <w:r w:rsidR="003D26C3" w:rsidRPr="00685D80">
        <w:rPr>
          <w:bCs/>
          <w:sz w:val="28"/>
          <w:szCs w:val="26"/>
          <w:lang w:val="uk-UA"/>
        </w:rPr>
        <w:t xml:space="preserve">повідомлень (щодо </w:t>
      </w:r>
      <w:r w:rsidR="006A40FA" w:rsidRPr="00685D80">
        <w:rPr>
          <w:bCs/>
          <w:sz w:val="28"/>
          <w:szCs w:val="26"/>
          <w:lang w:val="uk-UA"/>
        </w:rPr>
        <w:t>від</w:t>
      </w:r>
      <w:r w:rsidR="00BB233D" w:rsidRPr="00685D80">
        <w:rPr>
          <w:bCs/>
          <w:sz w:val="28"/>
          <w:szCs w:val="26"/>
          <w:lang w:val="uk-UA"/>
        </w:rPr>
        <w:t xml:space="preserve">омостей про </w:t>
      </w:r>
      <w:r w:rsidR="006A40FA" w:rsidRPr="00685D80">
        <w:rPr>
          <w:bCs/>
          <w:sz w:val="28"/>
          <w:szCs w:val="26"/>
          <w:lang w:val="uk-UA"/>
        </w:rPr>
        <w:t xml:space="preserve">акредитацію, експертів технічних, примірників </w:t>
      </w:r>
      <w:r w:rsidR="00BB233D" w:rsidRPr="00685D80">
        <w:rPr>
          <w:bCs/>
          <w:sz w:val="28"/>
          <w:szCs w:val="26"/>
          <w:lang w:val="uk-UA"/>
        </w:rPr>
        <w:t>виснов</w:t>
      </w:r>
      <w:r w:rsidR="006A40FA" w:rsidRPr="00685D80">
        <w:rPr>
          <w:bCs/>
          <w:sz w:val="28"/>
          <w:szCs w:val="26"/>
          <w:lang w:val="uk-UA"/>
        </w:rPr>
        <w:t>ків</w:t>
      </w:r>
      <w:r w:rsidR="00BB233D" w:rsidRPr="00685D80">
        <w:rPr>
          <w:bCs/>
          <w:sz w:val="28"/>
          <w:szCs w:val="26"/>
          <w:lang w:val="uk-UA"/>
        </w:rPr>
        <w:t xml:space="preserve"> експертизи</w:t>
      </w:r>
      <w:r w:rsidR="006A40FA" w:rsidRPr="00685D80">
        <w:rPr>
          <w:bCs/>
          <w:sz w:val="28"/>
          <w:szCs w:val="26"/>
          <w:lang w:val="uk-UA"/>
        </w:rPr>
        <w:t>)</w:t>
      </w:r>
      <w:r w:rsidR="00BB233D" w:rsidRPr="00685D80">
        <w:rPr>
          <w:bCs/>
          <w:sz w:val="28"/>
          <w:szCs w:val="26"/>
          <w:lang w:val="uk-UA"/>
        </w:rPr>
        <w:t xml:space="preserve"> </w:t>
      </w:r>
      <w:r w:rsidR="00981A84" w:rsidRPr="00685D80">
        <w:rPr>
          <w:bCs/>
          <w:sz w:val="28"/>
          <w:szCs w:val="26"/>
          <w:lang w:val="uk-UA"/>
        </w:rPr>
        <w:t xml:space="preserve">на початок </w:t>
      </w:r>
      <w:r w:rsidR="006A40FA" w:rsidRPr="00685D80">
        <w:rPr>
          <w:bCs/>
          <w:sz w:val="28"/>
          <w:szCs w:val="26"/>
          <w:lang w:val="uk-UA"/>
        </w:rPr>
        <w:t xml:space="preserve">базового </w:t>
      </w:r>
      <w:r w:rsidR="00981A84" w:rsidRPr="00685D80">
        <w:rPr>
          <w:bCs/>
          <w:sz w:val="28"/>
          <w:szCs w:val="26"/>
          <w:lang w:val="uk-UA"/>
        </w:rPr>
        <w:t>відстеження</w:t>
      </w:r>
      <w:r w:rsidR="00F24803" w:rsidRPr="00685D80">
        <w:rPr>
          <w:bCs/>
          <w:sz w:val="28"/>
          <w:szCs w:val="26"/>
          <w:lang w:val="uk-UA"/>
        </w:rPr>
        <w:t xml:space="preserve"> – </w:t>
      </w:r>
      <w:r w:rsidR="003D26C3" w:rsidRPr="00685D80">
        <w:rPr>
          <w:bCs/>
          <w:sz w:val="28"/>
          <w:szCs w:val="26"/>
          <w:lang w:val="en-US"/>
        </w:rPr>
        <w:t>2379</w:t>
      </w:r>
      <w:r w:rsidR="00F24803" w:rsidRPr="00685D80">
        <w:rPr>
          <w:bCs/>
          <w:sz w:val="28"/>
          <w:szCs w:val="26"/>
          <w:lang w:val="uk-UA"/>
        </w:rPr>
        <w:t xml:space="preserve">, </w:t>
      </w:r>
      <w:r w:rsidR="006A40FA" w:rsidRPr="00685D80">
        <w:rPr>
          <w:bCs/>
          <w:sz w:val="28"/>
          <w:szCs w:val="26"/>
          <w:lang w:val="uk-UA"/>
        </w:rPr>
        <w:t>на початок повторного відстеження</w:t>
      </w:r>
      <w:r w:rsidR="00F24803" w:rsidRPr="00685D80">
        <w:rPr>
          <w:bCs/>
          <w:sz w:val="28"/>
          <w:szCs w:val="26"/>
          <w:lang w:val="uk-UA"/>
        </w:rPr>
        <w:t xml:space="preserve"> – 7887</w:t>
      </w:r>
      <w:r w:rsidR="00C16EB1" w:rsidRPr="00685D80">
        <w:rPr>
          <w:bCs/>
          <w:sz w:val="28"/>
          <w:szCs w:val="26"/>
          <w:lang w:val="uk-UA"/>
        </w:rPr>
        <w:t>;</w:t>
      </w:r>
    </w:p>
    <w:p w:rsidR="00AD79E7" w:rsidRPr="00685D80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685D80">
        <w:rPr>
          <w:b/>
          <w:bCs/>
          <w:spacing w:val="-14"/>
          <w:sz w:val="28"/>
          <w:szCs w:val="28"/>
          <w:lang w:val="uk-UA"/>
        </w:rPr>
        <w:t>9.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685D80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регуляторного </w:t>
      </w:r>
      <w:proofErr w:type="spellStart"/>
      <w:r w:rsidR="009379F4" w:rsidRPr="00685D80">
        <w:rPr>
          <w:b/>
          <w:bCs/>
          <w:spacing w:val="-4"/>
          <w:sz w:val="28"/>
          <w:szCs w:val="28"/>
          <w:lang w:val="uk-UA"/>
        </w:rPr>
        <w:t>акта</w:t>
      </w:r>
      <w:proofErr w:type="spellEnd"/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 та ступеня </w:t>
      </w:r>
      <w:r w:rsidRPr="00685D80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744354" w:rsidRPr="00685D80" w:rsidRDefault="00981A84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 w:eastAsia="uk-UA"/>
        </w:rPr>
        <w:t>Визначених цілей прийняття</w:t>
      </w:r>
      <w:r w:rsidRPr="00685D80">
        <w:rPr>
          <w:sz w:val="28"/>
          <w:szCs w:val="28"/>
          <w:lang w:eastAsia="uk-UA"/>
        </w:rPr>
        <w:t xml:space="preserve"> акту </w:t>
      </w:r>
      <w:proofErr w:type="spellStart"/>
      <w:r w:rsidRPr="00685D80">
        <w:rPr>
          <w:sz w:val="28"/>
          <w:szCs w:val="28"/>
          <w:lang w:eastAsia="uk-UA"/>
        </w:rPr>
        <w:t>досягнуто</w:t>
      </w:r>
      <w:proofErr w:type="spellEnd"/>
      <w:r w:rsidRPr="00685D80">
        <w:rPr>
          <w:sz w:val="28"/>
          <w:szCs w:val="28"/>
          <w:lang w:eastAsia="uk-UA"/>
        </w:rPr>
        <w:t xml:space="preserve">, </w:t>
      </w:r>
      <w:proofErr w:type="spellStart"/>
      <w:r w:rsidRPr="00685D80">
        <w:rPr>
          <w:sz w:val="28"/>
          <w:szCs w:val="28"/>
          <w:lang w:eastAsia="uk-UA"/>
        </w:rPr>
        <w:t>оскільки</w:t>
      </w:r>
      <w:proofErr w:type="spellEnd"/>
      <w:r w:rsidRPr="00685D80">
        <w:rPr>
          <w:sz w:val="28"/>
          <w:szCs w:val="28"/>
          <w:lang w:eastAsia="uk-UA"/>
        </w:rPr>
        <w:t xml:space="preserve"> </w:t>
      </w:r>
      <w:proofErr w:type="spellStart"/>
      <w:r w:rsidRPr="00685D80">
        <w:rPr>
          <w:sz w:val="28"/>
          <w:szCs w:val="28"/>
        </w:rPr>
        <w:t>забезпечено</w:t>
      </w:r>
      <w:proofErr w:type="spellEnd"/>
      <w:r w:rsidR="00744354" w:rsidRPr="00685D80">
        <w:rPr>
          <w:sz w:val="28"/>
          <w:szCs w:val="28"/>
          <w:lang w:val="uk-UA"/>
        </w:rPr>
        <w:t>:</w:t>
      </w:r>
    </w:p>
    <w:p w:rsidR="00744354" w:rsidRPr="00685D80" w:rsidRDefault="00744354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proofErr w:type="spellStart"/>
      <w:r w:rsidRPr="00685D80">
        <w:rPr>
          <w:sz w:val="28"/>
          <w:szCs w:val="28"/>
        </w:rPr>
        <w:t>приведення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існуючого</w:t>
      </w:r>
      <w:proofErr w:type="spellEnd"/>
      <w:r w:rsidRPr="00685D80">
        <w:rPr>
          <w:sz w:val="28"/>
          <w:szCs w:val="28"/>
        </w:rPr>
        <w:t xml:space="preserve"> нормативно-правового акта у </w:t>
      </w:r>
      <w:proofErr w:type="spellStart"/>
      <w:r w:rsidRPr="00685D80">
        <w:rPr>
          <w:sz w:val="28"/>
          <w:szCs w:val="28"/>
        </w:rPr>
        <w:t>відповідність</w:t>
      </w:r>
      <w:proofErr w:type="spellEnd"/>
      <w:r w:rsidRPr="00685D80">
        <w:rPr>
          <w:sz w:val="28"/>
          <w:szCs w:val="28"/>
        </w:rPr>
        <w:t xml:space="preserve"> до </w:t>
      </w:r>
      <w:proofErr w:type="spellStart"/>
      <w:r w:rsidRPr="00685D80">
        <w:rPr>
          <w:sz w:val="28"/>
          <w:szCs w:val="28"/>
        </w:rPr>
        <w:t>законодавства</w:t>
      </w:r>
      <w:proofErr w:type="spellEnd"/>
      <w:r w:rsidRPr="00685D80">
        <w:rPr>
          <w:sz w:val="28"/>
          <w:szCs w:val="28"/>
          <w:lang w:val="uk-UA"/>
        </w:rPr>
        <w:t>;</w:t>
      </w:r>
    </w:p>
    <w:p w:rsidR="00B042E2" w:rsidRPr="00685D80" w:rsidRDefault="00744354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685D80">
        <w:rPr>
          <w:sz w:val="28"/>
          <w:szCs w:val="28"/>
        </w:rPr>
        <w:t>правове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регулювання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питання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надання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експертною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організацією</w:t>
      </w:r>
      <w:proofErr w:type="spellEnd"/>
      <w:r w:rsidRPr="00685D80">
        <w:rPr>
          <w:sz w:val="28"/>
          <w:szCs w:val="28"/>
        </w:rPr>
        <w:t xml:space="preserve"> </w:t>
      </w:r>
      <w:r w:rsidR="00B042E2" w:rsidRPr="00685D80">
        <w:rPr>
          <w:sz w:val="28"/>
          <w:szCs w:val="28"/>
          <w:lang w:val="uk-UA"/>
        </w:rPr>
        <w:t xml:space="preserve">в електронній формі </w:t>
      </w:r>
      <w:r w:rsidRPr="00685D80">
        <w:rPr>
          <w:sz w:val="28"/>
          <w:szCs w:val="28"/>
          <w:lang w:val="uk-UA"/>
        </w:rPr>
        <w:t xml:space="preserve">примірника </w:t>
      </w:r>
      <w:proofErr w:type="spellStart"/>
      <w:r w:rsidRPr="00685D80">
        <w:rPr>
          <w:sz w:val="28"/>
          <w:szCs w:val="28"/>
        </w:rPr>
        <w:t>висновку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експертизи</w:t>
      </w:r>
      <w:proofErr w:type="spellEnd"/>
      <w:r w:rsidRPr="00685D80">
        <w:rPr>
          <w:sz w:val="28"/>
          <w:szCs w:val="28"/>
        </w:rPr>
        <w:t xml:space="preserve"> </w:t>
      </w:r>
      <w:r w:rsidRPr="00685D80">
        <w:rPr>
          <w:bCs/>
          <w:sz w:val="28"/>
          <w:szCs w:val="28"/>
          <w:shd w:val="clear" w:color="auto" w:fill="FFFFFF"/>
        </w:rPr>
        <w:t xml:space="preserve">стану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праці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промислового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виробництва</w:t>
      </w:r>
      <w:proofErr w:type="spellEnd"/>
      <w:r w:rsidR="003672E7" w:rsidRPr="00685D80">
        <w:rPr>
          <w:bCs/>
          <w:sz w:val="28"/>
          <w:szCs w:val="28"/>
          <w:shd w:val="clear" w:color="auto" w:fill="FFFFFF"/>
          <w:lang w:val="uk-UA"/>
        </w:rPr>
        <w:t>, відомостей про акредитацію експер</w:t>
      </w:r>
      <w:r w:rsidR="00B042E2" w:rsidRPr="00685D80">
        <w:rPr>
          <w:bCs/>
          <w:sz w:val="28"/>
          <w:szCs w:val="28"/>
          <w:shd w:val="clear" w:color="auto" w:fill="FFFFFF"/>
          <w:lang w:val="uk-UA"/>
        </w:rPr>
        <w:t>т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>ної організації та відомостей про кадровий склад експертів технічних з промислової безпеки</w:t>
      </w:r>
      <w:r w:rsidR="00B042E2" w:rsidRPr="00685D80">
        <w:rPr>
          <w:bCs/>
          <w:sz w:val="28"/>
          <w:szCs w:val="28"/>
          <w:shd w:val="clear" w:color="auto" w:fill="FFFFFF"/>
          <w:lang w:val="uk-UA"/>
        </w:rPr>
        <w:t>;</w:t>
      </w:r>
    </w:p>
    <w:p w:rsidR="003672E7" w:rsidRPr="00685D80" w:rsidRDefault="00B042E2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85D80">
        <w:rPr>
          <w:bCs/>
          <w:sz w:val="28"/>
          <w:szCs w:val="28"/>
          <w:shd w:val="clear" w:color="auto" w:fill="FFFFFF"/>
          <w:lang w:val="uk-UA"/>
        </w:rPr>
        <w:t>мінімізацію наслідків втручання у зміст висновків експертизи сторонніх осіб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>.</w:t>
      </w:r>
    </w:p>
    <w:p w:rsidR="003672E7" w:rsidRPr="00685D80" w:rsidRDefault="00B042E2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85D80">
        <w:rPr>
          <w:bCs/>
          <w:sz w:val="28"/>
          <w:szCs w:val="28"/>
          <w:shd w:val="clear" w:color="auto" w:fill="FFFFFF"/>
          <w:lang w:val="uk-UA"/>
        </w:rPr>
        <w:t>Це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 xml:space="preserve"> в свою чергу сприяє розвитку </w:t>
      </w:r>
      <w:proofErr w:type="spellStart"/>
      <w:r w:rsidR="0067534F" w:rsidRPr="00685D80">
        <w:rPr>
          <w:bCs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="0067534F" w:rsidRPr="00685D80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85D80">
        <w:rPr>
          <w:bCs/>
          <w:sz w:val="28"/>
          <w:szCs w:val="28"/>
          <w:shd w:val="clear" w:color="auto" w:fill="FFFFFF"/>
          <w:lang w:val="uk-UA"/>
        </w:rPr>
        <w:t>надання адміністративних послуг у</w:t>
      </w:r>
      <w:r w:rsidR="003672E7" w:rsidRPr="00685D80">
        <w:rPr>
          <w:sz w:val="28"/>
          <w:szCs w:val="28"/>
          <w:lang w:val="uk-UA"/>
        </w:rPr>
        <w:t xml:space="preserve"> сфері охорони праці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>.</w:t>
      </w:r>
    </w:p>
    <w:p w:rsidR="00981A84" w:rsidRPr="00685D80" w:rsidRDefault="00B042E2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 w:rsidRPr="00685D80">
        <w:rPr>
          <w:sz w:val="28"/>
          <w:szCs w:val="28"/>
          <w:lang w:val="uk-UA"/>
        </w:rPr>
        <w:t>Подано м</w:t>
      </w:r>
      <w:r w:rsidR="00744354" w:rsidRPr="00685D80">
        <w:rPr>
          <w:sz w:val="28"/>
          <w:szCs w:val="28"/>
          <w:lang w:val="uk-UA"/>
        </w:rPr>
        <w:t>айже 2500 заяв на одержання адміністративної послуги з видачі дозволу на виконання робіт підвищеної небезпеки та на експлуатацію (застосування) машин, механізмів, устатковання підвищеної небезпеки в електронному вигляді.</w:t>
      </w:r>
    </w:p>
    <w:bookmarkEnd w:id="0"/>
    <w:p w:rsidR="00C16EB1" w:rsidRPr="00685D80" w:rsidRDefault="00C16EB1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sectPr w:rsidR="00C16EB1" w:rsidRPr="00685D80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98" w:rsidRDefault="00A95B98" w:rsidP="00846F56">
      <w:r>
        <w:separator/>
      </w:r>
    </w:p>
  </w:endnote>
  <w:endnote w:type="continuationSeparator" w:id="0">
    <w:p w:rsidR="00A95B98" w:rsidRDefault="00A95B98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98" w:rsidRDefault="00A95B98" w:rsidP="00846F56">
      <w:r>
        <w:separator/>
      </w:r>
    </w:p>
  </w:footnote>
  <w:footnote w:type="continuationSeparator" w:id="0">
    <w:p w:rsidR="00A95B98" w:rsidRDefault="00A95B98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685D80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A2F8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532B8"/>
    <w:rsid w:val="00163224"/>
    <w:rsid w:val="00182D97"/>
    <w:rsid w:val="00194675"/>
    <w:rsid w:val="001B11EA"/>
    <w:rsid w:val="001B5D47"/>
    <w:rsid w:val="001D12EA"/>
    <w:rsid w:val="001D2BD9"/>
    <w:rsid w:val="001F021A"/>
    <w:rsid w:val="00233DBE"/>
    <w:rsid w:val="00270B42"/>
    <w:rsid w:val="00273785"/>
    <w:rsid w:val="00294888"/>
    <w:rsid w:val="002B0696"/>
    <w:rsid w:val="002D7949"/>
    <w:rsid w:val="002E3E78"/>
    <w:rsid w:val="002E649D"/>
    <w:rsid w:val="002F4BBB"/>
    <w:rsid w:val="002F6255"/>
    <w:rsid w:val="00304548"/>
    <w:rsid w:val="00323BCF"/>
    <w:rsid w:val="00347A8C"/>
    <w:rsid w:val="00351668"/>
    <w:rsid w:val="00352339"/>
    <w:rsid w:val="0035258C"/>
    <w:rsid w:val="00353FA7"/>
    <w:rsid w:val="00357D34"/>
    <w:rsid w:val="003672E7"/>
    <w:rsid w:val="003728E4"/>
    <w:rsid w:val="0037641F"/>
    <w:rsid w:val="00394B62"/>
    <w:rsid w:val="003A5699"/>
    <w:rsid w:val="003B0F19"/>
    <w:rsid w:val="003B1268"/>
    <w:rsid w:val="003B4F4B"/>
    <w:rsid w:val="003D26C3"/>
    <w:rsid w:val="003D7BC9"/>
    <w:rsid w:val="003D7FE9"/>
    <w:rsid w:val="003E6B43"/>
    <w:rsid w:val="00414B6F"/>
    <w:rsid w:val="004156BF"/>
    <w:rsid w:val="00424805"/>
    <w:rsid w:val="00447A03"/>
    <w:rsid w:val="00447EBC"/>
    <w:rsid w:val="00464391"/>
    <w:rsid w:val="004A0687"/>
    <w:rsid w:val="004F2EB7"/>
    <w:rsid w:val="00516D76"/>
    <w:rsid w:val="00550D50"/>
    <w:rsid w:val="00560E7E"/>
    <w:rsid w:val="0057401A"/>
    <w:rsid w:val="00585BE6"/>
    <w:rsid w:val="005878D0"/>
    <w:rsid w:val="005B10BC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7534F"/>
    <w:rsid w:val="00685D80"/>
    <w:rsid w:val="00696778"/>
    <w:rsid w:val="00696BFA"/>
    <w:rsid w:val="006A40FA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326B7"/>
    <w:rsid w:val="00744354"/>
    <w:rsid w:val="00763D38"/>
    <w:rsid w:val="007A36AC"/>
    <w:rsid w:val="007A7007"/>
    <w:rsid w:val="007E2660"/>
    <w:rsid w:val="007E4FE2"/>
    <w:rsid w:val="007E5969"/>
    <w:rsid w:val="007E5A9D"/>
    <w:rsid w:val="008061D8"/>
    <w:rsid w:val="00815794"/>
    <w:rsid w:val="0081767E"/>
    <w:rsid w:val="00837E91"/>
    <w:rsid w:val="00846F56"/>
    <w:rsid w:val="00864D93"/>
    <w:rsid w:val="00882CD2"/>
    <w:rsid w:val="00886ECB"/>
    <w:rsid w:val="008E2F59"/>
    <w:rsid w:val="008E6648"/>
    <w:rsid w:val="009079B4"/>
    <w:rsid w:val="0092184B"/>
    <w:rsid w:val="00922A9F"/>
    <w:rsid w:val="009379F4"/>
    <w:rsid w:val="00942DCD"/>
    <w:rsid w:val="00947229"/>
    <w:rsid w:val="0097082C"/>
    <w:rsid w:val="00974DA0"/>
    <w:rsid w:val="00981A84"/>
    <w:rsid w:val="009A27E6"/>
    <w:rsid w:val="00A06A9D"/>
    <w:rsid w:val="00A27C42"/>
    <w:rsid w:val="00A30931"/>
    <w:rsid w:val="00A541E8"/>
    <w:rsid w:val="00A74CA4"/>
    <w:rsid w:val="00A8715C"/>
    <w:rsid w:val="00A95B98"/>
    <w:rsid w:val="00AB7B6A"/>
    <w:rsid w:val="00AD49D0"/>
    <w:rsid w:val="00AD79E7"/>
    <w:rsid w:val="00AE1410"/>
    <w:rsid w:val="00B042E2"/>
    <w:rsid w:val="00B11F53"/>
    <w:rsid w:val="00B16006"/>
    <w:rsid w:val="00B1741F"/>
    <w:rsid w:val="00B50B4A"/>
    <w:rsid w:val="00B63004"/>
    <w:rsid w:val="00BA3398"/>
    <w:rsid w:val="00BA7D28"/>
    <w:rsid w:val="00BB233D"/>
    <w:rsid w:val="00BC1EEA"/>
    <w:rsid w:val="00BD263C"/>
    <w:rsid w:val="00BF7461"/>
    <w:rsid w:val="00C16EB1"/>
    <w:rsid w:val="00C44577"/>
    <w:rsid w:val="00C52FFE"/>
    <w:rsid w:val="00C6531F"/>
    <w:rsid w:val="00C70761"/>
    <w:rsid w:val="00C82727"/>
    <w:rsid w:val="00C9295F"/>
    <w:rsid w:val="00C93935"/>
    <w:rsid w:val="00CC0EDE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2061D"/>
    <w:rsid w:val="00E21E46"/>
    <w:rsid w:val="00E37674"/>
    <w:rsid w:val="00E71DA5"/>
    <w:rsid w:val="00E771E3"/>
    <w:rsid w:val="00E919CB"/>
    <w:rsid w:val="00EC55CD"/>
    <w:rsid w:val="00EC5F54"/>
    <w:rsid w:val="00ED360F"/>
    <w:rsid w:val="00EE3A0C"/>
    <w:rsid w:val="00EE445E"/>
    <w:rsid w:val="00EF28C9"/>
    <w:rsid w:val="00F24803"/>
    <w:rsid w:val="00F4547D"/>
    <w:rsid w:val="00F76F92"/>
    <w:rsid w:val="00F8447A"/>
    <w:rsid w:val="00FA59D5"/>
    <w:rsid w:val="00FC0F7B"/>
    <w:rsid w:val="00FD2403"/>
    <w:rsid w:val="00FD510B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paragraph" w:customStyle="1" w:styleId="Textbody">
    <w:name w:val="Text body"/>
    <w:basedOn w:val="a"/>
    <w:rsid w:val="00E37674"/>
    <w:pPr>
      <w:widowControl/>
      <w:suppressAutoHyphens/>
      <w:autoSpaceDE/>
      <w:autoSpaceDN/>
      <w:adjustRightInd/>
      <w:spacing w:after="140" w:line="288" w:lineRule="auto"/>
      <w:textAlignment w:val="baseline"/>
    </w:pPr>
    <w:rPr>
      <w:rFonts w:ascii="Arial" w:hAnsi="Arial" w:cs="Arial"/>
      <w:color w:val="000000"/>
      <w:kern w:val="1"/>
      <w:sz w:val="22"/>
      <w:szCs w:val="22"/>
      <w:lang w:val="en-US" w:eastAsia="zh-CN" w:bidi="hi-IN"/>
    </w:rPr>
  </w:style>
  <w:style w:type="paragraph" w:customStyle="1" w:styleId="11">
    <w:name w:val="Обычный1"/>
    <w:link w:val="12"/>
    <w:rsid w:val="00981A84"/>
    <w:rPr>
      <w:rFonts w:ascii="UkrainianBaltica" w:hAnsi="UkrainianBaltica"/>
      <w:sz w:val="24"/>
      <w:lang w:val="uk-UA"/>
    </w:rPr>
  </w:style>
  <w:style w:type="character" w:customStyle="1" w:styleId="12">
    <w:name w:val="Обычный1 Знак"/>
    <w:link w:val="11"/>
    <w:rsid w:val="00981A84"/>
    <w:rPr>
      <w:rFonts w:ascii="UkrainianBaltica" w:hAnsi="UkrainianBaltica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7</cp:revision>
  <cp:lastPrinted>2018-08-31T09:03:00Z</cp:lastPrinted>
  <dcterms:created xsi:type="dcterms:W3CDTF">2024-03-22T09:11:00Z</dcterms:created>
  <dcterms:modified xsi:type="dcterms:W3CDTF">2024-03-25T13:54:00Z</dcterms:modified>
</cp:coreProperties>
</file>