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3" w:rsidRPr="00431B5E" w:rsidRDefault="00652FB3" w:rsidP="009C45B0">
      <w:pPr>
        <w:shd w:val="clear" w:color="auto" w:fill="FFFFFF"/>
        <w:ind w:right="51"/>
        <w:rPr>
          <w:b/>
          <w:bCs/>
          <w:color w:val="000000"/>
          <w:spacing w:val="-9"/>
          <w:sz w:val="28"/>
          <w:szCs w:val="28"/>
          <w:lang w:val="uk-UA"/>
        </w:rPr>
      </w:pPr>
    </w:p>
    <w:p w:rsidR="009C45B0" w:rsidRPr="009F2886" w:rsidRDefault="006D109C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9"/>
          <w:sz w:val="28"/>
          <w:szCs w:val="28"/>
          <w:lang w:val="uk-UA"/>
        </w:rPr>
        <w:t xml:space="preserve">Звіт </w:t>
      </w:r>
    </w:p>
    <w:p w:rsidR="00625109" w:rsidRPr="009F2886" w:rsidRDefault="001247E0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9"/>
          <w:sz w:val="28"/>
          <w:szCs w:val="28"/>
          <w:lang w:val="uk-UA"/>
        </w:rPr>
        <w:t xml:space="preserve">про </w:t>
      </w:r>
      <w:r w:rsidRPr="009F2886">
        <w:rPr>
          <w:b/>
          <w:color w:val="000000"/>
          <w:spacing w:val="-6"/>
          <w:sz w:val="28"/>
          <w:szCs w:val="28"/>
          <w:lang w:val="uk-UA"/>
        </w:rPr>
        <w:t>базове</w:t>
      </w:r>
      <w:r w:rsidRPr="009F2886">
        <w:rPr>
          <w:b/>
          <w:bCs/>
          <w:color w:val="000000"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9F2886" w:rsidRDefault="00D33FA5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F2886">
        <w:rPr>
          <w:b/>
          <w:sz w:val="28"/>
          <w:szCs w:val="28"/>
          <w:lang w:val="uk-UA"/>
        </w:rPr>
        <w:t xml:space="preserve">наказу </w:t>
      </w:r>
      <w:r w:rsidR="007C1157" w:rsidRPr="009F2886">
        <w:rPr>
          <w:b/>
          <w:sz w:val="28"/>
          <w:szCs w:val="28"/>
        </w:rPr>
        <w:t>Міністерства економіки України</w:t>
      </w:r>
      <w:r w:rsidR="007C1157" w:rsidRPr="009F2886">
        <w:rPr>
          <w:b/>
          <w:sz w:val="28"/>
          <w:szCs w:val="28"/>
          <w:lang w:val="uk-UA"/>
        </w:rPr>
        <w:t xml:space="preserve"> </w:t>
      </w:r>
      <w:r w:rsidR="001D2BD9" w:rsidRPr="009F2886">
        <w:rPr>
          <w:b/>
          <w:sz w:val="28"/>
          <w:szCs w:val="28"/>
          <w:lang w:val="uk-UA"/>
        </w:rPr>
        <w:t>«</w:t>
      </w:r>
      <w:r w:rsidR="007C1157" w:rsidRPr="009F2886">
        <w:rPr>
          <w:b/>
          <w:sz w:val="28"/>
          <w:szCs w:val="28"/>
        </w:rPr>
        <w:t>Про затвердження Порядку впровадження електронного документообігу в системі управління охороною праці</w:t>
      </w:r>
      <w:r w:rsidR="00E21E46" w:rsidRPr="009F2886">
        <w:rPr>
          <w:rStyle w:val="rvts23"/>
          <w:b/>
          <w:sz w:val="28"/>
          <w:szCs w:val="28"/>
          <w:lang w:val="uk-UA"/>
        </w:rPr>
        <w:t>»</w:t>
      </w:r>
      <w:r w:rsidR="00625109" w:rsidRPr="009F2886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9F2886" w:rsidRDefault="00696778" w:rsidP="00696778">
      <w:pPr>
        <w:shd w:val="clear" w:color="auto" w:fill="FFFFFF"/>
        <w:ind w:right="51" w:firstLine="426"/>
        <w:jc w:val="center"/>
        <w:rPr>
          <w:b/>
          <w:sz w:val="28"/>
          <w:szCs w:val="28"/>
          <w:lang w:val="uk-UA"/>
        </w:rPr>
      </w:pPr>
    </w:p>
    <w:p w:rsidR="006E47DB" w:rsidRPr="009F2886" w:rsidRDefault="006E47DB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9F2886">
        <w:rPr>
          <w:b/>
          <w:bCs/>
          <w:color w:val="000000"/>
          <w:sz w:val="28"/>
          <w:szCs w:val="28"/>
          <w:lang w:val="uk-UA"/>
        </w:rPr>
        <w:t>1. Вид та назва регуляторного акта, результативність якого відстежується.</w:t>
      </w:r>
    </w:p>
    <w:p w:rsidR="00696778" w:rsidRPr="009F2886" w:rsidRDefault="00D33FA5" w:rsidP="007C1157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Наказ </w:t>
      </w:r>
      <w:r w:rsidR="007C1157" w:rsidRPr="009F2886">
        <w:rPr>
          <w:sz w:val="28"/>
          <w:szCs w:val="28"/>
          <w:lang w:val="uk-UA"/>
        </w:rPr>
        <w:t xml:space="preserve">Міністерства економіки України від 28.10.2021 № 839-21 </w:t>
      </w:r>
      <w:r w:rsidR="00E36D92" w:rsidRPr="009F2886">
        <w:rPr>
          <w:sz w:val="28"/>
          <w:szCs w:val="28"/>
          <w:lang w:val="uk-UA"/>
        </w:rPr>
        <w:br/>
      </w:r>
      <w:r w:rsidR="007C1157" w:rsidRPr="009F2886">
        <w:rPr>
          <w:sz w:val="28"/>
          <w:szCs w:val="28"/>
          <w:lang w:val="uk-UA"/>
        </w:rPr>
        <w:t>«Про затвердження Порядку впровадження електронного документообігу в системі управління охороною праці</w:t>
      </w:r>
      <w:r w:rsidR="00C9295F" w:rsidRPr="009F2886">
        <w:rPr>
          <w:sz w:val="28"/>
          <w:szCs w:val="28"/>
          <w:lang w:val="uk-UA"/>
        </w:rPr>
        <w:t xml:space="preserve">», </w:t>
      </w:r>
      <w:r w:rsidR="00B14A91" w:rsidRPr="009F2886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7C1157" w:rsidRPr="009F2886">
        <w:rPr>
          <w:sz w:val="28"/>
          <w:szCs w:val="28"/>
          <w:lang w:val="uk-UA"/>
        </w:rPr>
        <w:t>11.11.2021 за № 1488/37110.</w:t>
      </w:r>
    </w:p>
    <w:p w:rsidR="007C1157" w:rsidRPr="009F2886" w:rsidRDefault="007C1157" w:rsidP="007C1157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9F2886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b/>
          <w:bCs/>
          <w:color w:val="000000"/>
          <w:sz w:val="28"/>
          <w:szCs w:val="28"/>
          <w:lang w:val="uk-UA"/>
        </w:rPr>
        <w:t>2. Назва виконавця заходів з відстеження.</w:t>
      </w:r>
    </w:p>
    <w:p w:rsidR="006D109C" w:rsidRPr="009F2886" w:rsidRDefault="006D4D52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  <w:r w:rsidRPr="009F2886">
        <w:rPr>
          <w:color w:val="000000"/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9F2886">
        <w:rPr>
          <w:color w:val="000000"/>
          <w:spacing w:val="-3"/>
          <w:sz w:val="28"/>
          <w:szCs w:val="28"/>
          <w:lang w:val="uk-UA"/>
        </w:rPr>
        <w:t>.</w:t>
      </w:r>
    </w:p>
    <w:p w:rsidR="00A06A9D" w:rsidRPr="009F2886" w:rsidRDefault="00A06A9D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</w:p>
    <w:p w:rsidR="00B16006" w:rsidRPr="009F2886" w:rsidRDefault="00B16006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9F2886">
        <w:rPr>
          <w:b/>
          <w:bCs/>
          <w:color w:val="000000"/>
          <w:sz w:val="28"/>
          <w:szCs w:val="28"/>
          <w:lang w:val="uk-UA"/>
        </w:rPr>
        <w:t>3. Ціль прийняття регуляторного акта.</w:t>
      </w:r>
    </w:p>
    <w:p w:rsidR="00E36D92" w:rsidRPr="009F2886" w:rsidRDefault="00E36D92" w:rsidP="00E36D92">
      <w:pPr>
        <w:pStyle w:val="Textbody"/>
        <w:spacing w:after="0" w:line="238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F28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цілями прийняття регуляторного акта є: зменшення надмірного правового регулювання економічної діяльності суб’єктів господарювання у сфері охорони праці; актуалізації і визначення єдиного порядку, як </w:t>
      </w:r>
      <w:r w:rsidRPr="009F288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альтернативного варіанту електронного документообігу в системі управління охороною праці.</w:t>
      </w:r>
    </w:p>
    <w:p w:rsidR="00696778" w:rsidRPr="009F2886" w:rsidRDefault="00696778" w:rsidP="0011237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color w:val="000000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10"/>
          <w:sz w:val="28"/>
          <w:szCs w:val="28"/>
          <w:lang w:val="uk-UA"/>
        </w:rPr>
        <w:t>4.</w:t>
      </w:r>
      <w:r w:rsidR="0037641F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9F2886">
        <w:rPr>
          <w:b/>
          <w:bCs/>
          <w:color w:val="000000"/>
          <w:spacing w:val="-2"/>
          <w:sz w:val="28"/>
          <w:szCs w:val="28"/>
          <w:lang w:val="uk-UA"/>
        </w:rPr>
        <w:t xml:space="preserve">Строк виконання заходів з </w:t>
      </w:r>
      <w:r w:rsidRPr="009F2886">
        <w:rPr>
          <w:b/>
          <w:bCs/>
          <w:color w:val="000000"/>
          <w:spacing w:val="-2"/>
          <w:sz w:val="28"/>
          <w:szCs w:val="28"/>
          <w:lang w:val="uk-UA"/>
        </w:rPr>
        <w:t>ві</w:t>
      </w:r>
      <w:r w:rsidR="00721739" w:rsidRPr="009F2886">
        <w:rPr>
          <w:b/>
          <w:bCs/>
          <w:color w:val="000000"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9F2886" w:rsidRDefault="00B63004" w:rsidP="00112372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9F2886">
        <w:rPr>
          <w:bCs/>
          <w:color w:val="000000"/>
          <w:sz w:val="28"/>
          <w:szCs w:val="28"/>
          <w:lang w:val="uk-UA"/>
        </w:rPr>
        <w:t xml:space="preserve">З </w:t>
      </w:r>
      <w:r w:rsidR="007F5AC9">
        <w:rPr>
          <w:sz w:val="28"/>
          <w:szCs w:val="28"/>
          <w:lang w:val="uk-UA"/>
        </w:rPr>
        <w:t>15</w:t>
      </w:r>
      <w:bookmarkStart w:id="0" w:name="_GoBack"/>
      <w:bookmarkEnd w:id="0"/>
      <w:r w:rsidRPr="009F2886">
        <w:rPr>
          <w:sz w:val="28"/>
          <w:szCs w:val="28"/>
          <w:lang w:val="uk-UA"/>
        </w:rPr>
        <w:t>.0</w:t>
      </w:r>
      <w:r w:rsidR="00D33FA5" w:rsidRPr="009F2886">
        <w:rPr>
          <w:sz w:val="28"/>
          <w:szCs w:val="28"/>
          <w:lang w:val="uk-UA"/>
        </w:rPr>
        <w:t>1</w:t>
      </w:r>
      <w:r w:rsidRPr="009F2886">
        <w:rPr>
          <w:sz w:val="28"/>
          <w:szCs w:val="28"/>
          <w:lang w:val="uk-UA"/>
        </w:rPr>
        <w:t>.20</w:t>
      </w:r>
      <w:r w:rsidR="007C1157" w:rsidRPr="009F2886">
        <w:rPr>
          <w:sz w:val="28"/>
          <w:szCs w:val="28"/>
          <w:lang w:val="uk-UA"/>
        </w:rPr>
        <w:t>23</w:t>
      </w:r>
      <w:r w:rsidR="00CC0EDE" w:rsidRPr="009F2886">
        <w:rPr>
          <w:sz w:val="28"/>
          <w:szCs w:val="28"/>
          <w:lang w:val="uk-UA"/>
        </w:rPr>
        <w:t xml:space="preserve"> по </w:t>
      </w:r>
      <w:r w:rsidR="009D48C8">
        <w:rPr>
          <w:sz w:val="28"/>
          <w:szCs w:val="28"/>
          <w:lang w:val="uk-UA"/>
        </w:rPr>
        <w:t>17.02</w:t>
      </w:r>
      <w:r w:rsidR="00D33FA5" w:rsidRPr="009F2886">
        <w:rPr>
          <w:sz w:val="28"/>
          <w:szCs w:val="28"/>
          <w:lang w:val="uk-UA"/>
        </w:rPr>
        <w:t>.20</w:t>
      </w:r>
      <w:r w:rsidR="007C1157" w:rsidRPr="009F2886">
        <w:rPr>
          <w:sz w:val="28"/>
          <w:szCs w:val="28"/>
          <w:lang w:val="uk-UA"/>
        </w:rPr>
        <w:t>23</w:t>
      </w:r>
      <w:r w:rsidRPr="009F2886">
        <w:rPr>
          <w:sz w:val="28"/>
          <w:szCs w:val="28"/>
          <w:lang w:val="uk-UA"/>
        </w:rPr>
        <w:t>.</w:t>
      </w:r>
    </w:p>
    <w:p w:rsidR="00696778" w:rsidRPr="009F2886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9F2886">
        <w:rPr>
          <w:b/>
          <w:bCs/>
          <w:color w:val="000000"/>
          <w:spacing w:val="-12"/>
          <w:sz w:val="28"/>
          <w:szCs w:val="28"/>
          <w:lang w:val="uk-UA"/>
        </w:rPr>
        <w:t>5.</w:t>
      </w:r>
      <w:r w:rsidR="00B63004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F2886">
        <w:rPr>
          <w:b/>
          <w:bCs/>
          <w:color w:val="000000"/>
          <w:spacing w:val="-2"/>
          <w:sz w:val="28"/>
          <w:szCs w:val="28"/>
          <w:lang w:val="uk-UA"/>
        </w:rPr>
        <w:t>Тип відстеження</w:t>
      </w:r>
    </w:p>
    <w:p w:rsidR="00721739" w:rsidRPr="009F2886" w:rsidRDefault="007C1157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9F2886">
        <w:rPr>
          <w:color w:val="000000"/>
          <w:spacing w:val="-6"/>
          <w:sz w:val="28"/>
          <w:szCs w:val="28"/>
          <w:lang w:val="uk-UA"/>
        </w:rPr>
        <w:t>Повторне</w:t>
      </w:r>
      <w:r w:rsidR="006D109C" w:rsidRPr="009F2886">
        <w:rPr>
          <w:color w:val="000000"/>
          <w:spacing w:val="-3"/>
          <w:sz w:val="28"/>
          <w:szCs w:val="28"/>
          <w:lang w:val="uk-UA"/>
        </w:rPr>
        <w:t>.</w:t>
      </w:r>
    </w:p>
    <w:p w:rsidR="00696778" w:rsidRPr="009F2886" w:rsidRDefault="00696778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13"/>
          <w:sz w:val="28"/>
          <w:szCs w:val="28"/>
          <w:lang w:val="uk-UA"/>
        </w:rPr>
        <w:t>6.</w:t>
      </w:r>
      <w:r w:rsidR="00B63004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F2886">
        <w:rPr>
          <w:b/>
          <w:bCs/>
          <w:color w:val="000000"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96778" w:rsidRPr="009F2886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F2886">
        <w:rPr>
          <w:color w:val="000000"/>
          <w:sz w:val="28"/>
          <w:szCs w:val="28"/>
          <w:lang w:val="uk-UA"/>
        </w:rPr>
        <w:t xml:space="preserve">Для проведення </w:t>
      </w:r>
      <w:r w:rsidR="007C1157" w:rsidRPr="009F2886">
        <w:rPr>
          <w:color w:val="000000"/>
          <w:spacing w:val="-6"/>
          <w:sz w:val="28"/>
          <w:szCs w:val="28"/>
          <w:lang w:val="uk-UA"/>
        </w:rPr>
        <w:t>повторного</w:t>
      </w:r>
      <w:r w:rsidRPr="009F2886">
        <w:rPr>
          <w:color w:val="000000"/>
          <w:sz w:val="28"/>
          <w:szCs w:val="28"/>
          <w:lang w:val="uk-UA"/>
        </w:rPr>
        <w:t xml:space="preserve"> відстеження використовувалися два методи одержання результатів відстеження:</w:t>
      </w:r>
    </w:p>
    <w:p w:rsidR="00696778" w:rsidRPr="009F2886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F2886">
        <w:rPr>
          <w:color w:val="000000"/>
          <w:sz w:val="28"/>
          <w:szCs w:val="28"/>
          <w:lang w:val="uk-UA"/>
        </w:rPr>
        <w:t>статистичний;</w:t>
      </w:r>
    </w:p>
    <w:p w:rsidR="00696778" w:rsidRPr="009F2886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F2886">
        <w:rPr>
          <w:color w:val="000000"/>
          <w:sz w:val="28"/>
          <w:szCs w:val="28"/>
          <w:lang w:val="uk-UA"/>
        </w:rPr>
        <w:t>соціологічний.</w:t>
      </w:r>
    </w:p>
    <w:p w:rsidR="006D109C" w:rsidRPr="009F2886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15"/>
          <w:sz w:val="28"/>
          <w:szCs w:val="28"/>
          <w:lang w:val="uk-UA"/>
        </w:rPr>
        <w:t>7.</w:t>
      </w:r>
      <w:r w:rsidR="00B63004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9F2886">
        <w:rPr>
          <w:b/>
          <w:bCs/>
          <w:color w:val="000000"/>
          <w:spacing w:val="-4"/>
          <w:sz w:val="28"/>
          <w:szCs w:val="28"/>
          <w:lang w:val="uk-UA"/>
        </w:rPr>
        <w:t>відстежувалася</w:t>
      </w:r>
      <w:r w:rsidR="00721739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F2886">
        <w:rPr>
          <w:b/>
          <w:bCs/>
          <w:color w:val="000000"/>
          <w:spacing w:val="-6"/>
          <w:sz w:val="28"/>
          <w:szCs w:val="28"/>
          <w:lang w:val="uk-UA"/>
        </w:rPr>
        <w:t xml:space="preserve">результативність, </w:t>
      </w:r>
      <w:r w:rsidR="00BF7461" w:rsidRPr="009F2886">
        <w:rPr>
          <w:b/>
          <w:bCs/>
          <w:color w:val="000000"/>
          <w:spacing w:val="-6"/>
          <w:sz w:val="28"/>
          <w:szCs w:val="28"/>
          <w:lang w:val="uk-UA"/>
        </w:rPr>
        <w:t xml:space="preserve">а також </w:t>
      </w:r>
      <w:r w:rsidRPr="009F2886">
        <w:rPr>
          <w:b/>
          <w:bCs/>
          <w:color w:val="000000"/>
          <w:spacing w:val="-6"/>
          <w:sz w:val="28"/>
          <w:szCs w:val="28"/>
          <w:lang w:val="uk-UA"/>
        </w:rPr>
        <w:t>способи одержання даних</w:t>
      </w:r>
    </w:p>
    <w:p w:rsidR="00882CD2" w:rsidRPr="009F2886" w:rsidRDefault="00445CC2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  <w:r w:rsidRPr="009F2886">
        <w:rPr>
          <w:color w:val="000000"/>
          <w:sz w:val="28"/>
          <w:szCs w:val="28"/>
          <w:lang w:val="uk-UA"/>
        </w:rPr>
        <w:t>Відстеження результативності акта здійснюється шляхом моніторингу статистичних даних</w:t>
      </w:r>
      <w:r w:rsidR="003C03A1" w:rsidRPr="009F2886">
        <w:rPr>
          <w:color w:val="000000"/>
          <w:sz w:val="28"/>
          <w:szCs w:val="28"/>
          <w:lang w:val="uk-UA"/>
        </w:rPr>
        <w:t xml:space="preserve">. </w:t>
      </w:r>
      <w:r w:rsidRPr="009F2886">
        <w:rPr>
          <w:color w:val="000000"/>
          <w:sz w:val="28"/>
          <w:szCs w:val="28"/>
          <w:lang w:val="uk-UA"/>
        </w:rPr>
        <w:t>Статистичні дані формуються на підставі повідомлень, отриманих від територіальних органів Держпраці та інших актуальних джерел.</w:t>
      </w:r>
    </w:p>
    <w:p w:rsidR="00431B5E" w:rsidRPr="009F2886" w:rsidRDefault="00431B5E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b/>
          <w:bCs/>
          <w:color w:val="000000"/>
          <w:spacing w:val="-6"/>
          <w:sz w:val="28"/>
          <w:szCs w:val="28"/>
          <w:lang w:val="uk-UA"/>
        </w:rPr>
      </w:pPr>
      <w:r w:rsidRPr="009F2886">
        <w:rPr>
          <w:b/>
          <w:bCs/>
          <w:color w:val="000000"/>
          <w:spacing w:val="-13"/>
          <w:sz w:val="28"/>
          <w:szCs w:val="28"/>
          <w:lang w:val="uk-UA"/>
        </w:rPr>
        <w:t>8.</w:t>
      </w:r>
      <w:r w:rsidR="00B63004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F2886">
        <w:rPr>
          <w:b/>
          <w:bCs/>
          <w:color w:val="000000"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6B0FBA" w:rsidRPr="009F2886" w:rsidRDefault="006B0FBA" w:rsidP="006B0FBA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F2886">
        <w:rPr>
          <w:sz w:val="28"/>
          <w:szCs w:val="28"/>
          <w:lang w:val="uk-UA"/>
        </w:rPr>
        <w:t>Кількісні показники вигоди впровадження даного акта:</w:t>
      </w:r>
    </w:p>
    <w:p w:rsidR="009C45B0" w:rsidRPr="009F2886" w:rsidRDefault="00827554" w:rsidP="00D33F53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звернення суб’єктів господарювання щодо наявності в акті правових </w:t>
      </w:r>
      <w:r w:rsidR="00D33F53" w:rsidRPr="009F2886">
        <w:rPr>
          <w:sz w:val="28"/>
          <w:szCs w:val="28"/>
          <w:lang w:val="uk-UA"/>
        </w:rPr>
        <w:t>надмірного правового регулювання економічної діяльності суб’єктів господарювання</w:t>
      </w:r>
      <w:r w:rsidR="006B0FBA" w:rsidRPr="009F2886">
        <w:rPr>
          <w:sz w:val="28"/>
          <w:szCs w:val="28"/>
          <w:lang w:val="uk-UA"/>
        </w:rPr>
        <w:t>;</w:t>
      </w:r>
    </w:p>
    <w:p w:rsidR="00D33F53" w:rsidRPr="009F2886" w:rsidRDefault="00D33F53" w:rsidP="00D33F53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lastRenderedPageBreak/>
        <w:t>звернення, скарги, заяви від працівників щодо порушення вимог безпеки на робочих місцях;</w:t>
      </w:r>
    </w:p>
    <w:p w:rsidR="00D33F53" w:rsidRPr="009F2886" w:rsidRDefault="00D33F53" w:rsidP="00D33F53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>якісні вигоди підвищення рівня безпеки виробництва та зниження впливу небезпечних і шкідливих факторів.</w:t>
      </w:r>
    </w:p>
    <w:p w:rsidR="009C45B0" w:rsidRPr="009F2886" w:rsidRDefault="009C45B0" w:rsidP="009C45B0">
      <w:pPr>
        <w:jc w:val="both"/>
        <w:rPr>
          <w:sz w:val="28"/>
          <w:szCs w:val="28"/>
          <w:lang w:val="uk-UA"/>
        </w:rPr>
      </w:pPr>
    </w:p>
    <w:p w:rsidR="006D109C" w:rsidRPr="009F2886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sz w:val="28"/>
          <w:szCs w:val="28"/>
          <w:lang w:val="uk-UA"/>
        </w:rPr>
      </w:pPr>
      <w:r w:rsidRPr="009F2886">
        <w:rPr>
          <w:b/>
          <w:bCs/>
          <w:color w:val="000000"/>
          <w:spacing w:val="-14"/>
          <w:sz w:val="28"/>
          <w:szCs w:val="28"/>
          <w:lang w:val="uk-UA"/>
        </w:rPr>
        <w:t>9.</w:t>
      </w:r>
      <w:r w:rsidR="00B63004" w:rsidRPr="009F28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379F4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Оцінка </w:t>
      </w:r>
      <w:r w:rsidR="00BF7461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реалізації </w:t>
      </w:r>
      <w:r w:rsidR="009379F4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9F2886">
        <w:rPr>
          <w:b/>
          <w:bCs/>
          <w:color w:val="000000"/>
          <w:spacing w:val="-4"/>
          <w:sz w:val="28"/>
          <w:szCs w:val="28"/>
          <w:lang w:val="uk-UA"/>
        </w:rPr>
        <w:t>досягнення</w:t>
      </w:r>
      <w:r w:rsidR="009379F4" w:rsidRPr="009F2886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F2886">
        <w:rPr>
          <w:b/>
          <w:bCs/>
          <w:color w:val="000000"/>
          <w:spacing w:val="-6"/>
          <w:sz w:val="28"/>
          <w:szCs w:val="28"/>
          <w:lang w:val="uk-UA"/>
        </w:rPr>
        <w:t>визначених цілей</w:t>
      </w:r>
    </w:p>
    <w:p w:rsidR="001E5F3F" w:rsidRPr="009F2886" w:rsidRDefault="001E5F3F" w:rsidP="001E5F3F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F2886">
        <w:rPr>
          <w:sz w:val="28"/>
          <w:szCs w:val="28"/>
          <w:shd w:val="clear" w:color="auto" w:fill="FFFFFF"/>
          <w:lang w:val="uk-UA"/>
        </w:rPr>
        <w:t>Прийняття регуляторного акту сприяло:</w:t>
      </w:r>
    </w:p>
    <w:p w:rsidR="001E5F3F" w:rsidRPr="009F2886" w:rsidRDefault="001E5F3F" w:rsidP="001E5F3F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F2886">
        <w:rPr>
          <w:sz w:val="28"/>
          <w:szCs w:val="28"/>
          <w:lang w:val="uk-UA"/>
        </w:rPr>
        <w:t>відсутності звернень суб’єктів господарювання щодо наявності в акті надмірного правового регулювання економічної діяльності;</w:t>
      </w:r>
    </w:p>
    <w:p w:rsidR="00AB5172" w:rsidRPr="009F2886" w:rsidRDefault="00AB5172" w:rsidP="00AB51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економії часу і підвищення продуктивності </w:t>
      </w:r>
      <w:hyperlink r:id="rId7" w:history="1">
        <w:r w:rsidRPr="009F2886">
          <w:rPr>
            <w:rStyle w:val="aa"/>
            <w:color w:val="auto"/>
            <w:sz w:val="28"/>
            <w:szCs w:val="28"/>
            <w:u w:val="none"/>
            <w:lang w:val="uk-UA"/>
          </w:rPr>
          <w:t xml:space="preserve">та інших внутрішніх процесів </w:t>
        </w:r>
        <w:r w:rsidRPr="009F2886">
          <w:rPr>
            <w:rFonts w:eastAsia="Calibri"/>
            <w:sz w:val="28"/>
            <w:szCs w:val="28"/>
            <w:lang w:val="uk-UA"/>
          </w:rPr>
          <w:t>суб’єктів господарювання</w:t>
        </w:r>
      </w:hyperlink>
      <w:r w:rsidRPr="009F2886">
        <w:rPr>
          <w:sz w:val="28"/>
          <w:szCs w:val="28"/>
          <w:lang w:val="uk-UA"/>
        </w:rPr>
        <w:t xml:space="preserve">; </w:t>
      </w:r>
    </w:p>
    <w:p w:rsidR="00AB5172" w:rsidRPr="009F2886" w:rsidRDefault="00AB5172" w:rsidP="00AB51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оптимізації та покращенню комунікацій, як внутрішніх, так і зовнішніх; </w:t>
      </w:r>
    </w:p>
    <w:p w:rsidR="00AB5172" w:rsidRPr="009F2886" w:rsidRDefault="00AB5172" w:rsidP="00AB51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поліпшенню оптимізації робочого процесу; </w:t>
      </w:r>
    </w:p>
    <w:p w:rsidR="00AB5172" w:rsidRPr="009F2886" w:rsidRDefault="00AB5172" w:rsidP="00AB51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 xml:space="preserve">безперервному проведенню онлайн навчання та інструктажів на виробництві в умовах пандемії; </w:t>
      </w:r>
    </w:p>
    <w:p w:rsidR="00AB5172" w:rsidRPr="009F2886" w:rsidRDefault="00AB5172" w:rsidP="00AB5172">
      <w:pPr>
        <w:ind w:firstLine="567"/>
        <w:jc w:val="both"/>
        <w:rPr>
          <w:sz w:val="28"/>
          <w:szCs w:val="28"/>
          <w:lang w:val="uk-UA"/>
        </w:rPr>
      </w:pPr>
      <w:r w:rsidRPr="009F2886">
        <w:rPr>
          <w:sz w:val="28"/>
          <w:szCs w:val="28"/>
          <w:lang w:val="uk-UA"/>
        </w:rPr>
        <w:t>можливості виходу на новий рівень взаємовідносин між замовником та  підрядними організаціями</w:t>
      </w:r>
      <w:r w:rsidRPr="009F2886">
        <w:rPr>
          <w:rFonts w:eastAsia="Calibri"/>
          <w:sz w:val="28"/>
          <w:szCs w:val="28"/>
          <w:lang w:val="uk-UA"/>
        </w:rPr>
        <w:t xml:space="preserve"> </w:t>
      </w:r>
      <w:r w:rsidRPr="009F2886">
        <w:rPr>
          <w:bCs/>
          <w:sz w:val="28"/>
          <w:szCs w:val="28"/>
          <w:lang w:val="uk-UA"/>
        </w:rPr>
        <w:t>в системі управління охороною праці.</w:t>
      </w:r>
    </w:p>
    <w:p w:rsidR="00AB5172" w:rsidRPr="009F2886" w:rsidRDefault="00AB5172" w:rsidP="00AB5172">
      <w:pPr>
        <w:pStyle w:val="a4"/>
        <w:spacing w:before="0" w:after="0"/>
        <w:ind w:firstLine="567"/>
        <w:jc w:val="both"/>
        <w:rPr>
          <w:bCs/>
          <w:sz w:val="28"/>
          <w:szCs w:val="28"/>
        </w:rPr>
      </w:pPr>
      <w:r w:rsidRPr="009F2886">
        <w:rPr>
          <w:rStyle w:val="a5"/>
          <w:b w:val="0"/>
          <w:sz w:val="28"/>
          <w:szCs w:val="28"/>
        </w:rPr>
        <w:t>На</w:t>
      </w:r>
      <w:r w:rsidRPr="009F2886">
        <w:rPr>
          <w:rStyle w:val="a5"/>
          <w:b w:val="0"/>
          <w:sz w:val="28"/>
          <w:szCs w:val="28"/>
          <w:lang w:val="uk-UA"/>
        </w:rPr>
        <w:t xml:space="preserve">разі </w:t>
      </w:r>
      <w:r w:rsidRPr="009F2886">
        <w:rPr>
          <w:rStyle w:val="a5"/>
          <w:b w:val="0"/>
          <w:sz w:val="28"/>
          <w:szCs w:val="28"/>
        </w:rPr>
        <w:t xml:space="preserve">регуляторний акт не потребує внесення змін </w:t>
      </w:r>
      <w:r w:rsidRPr="009F2886">
        <w:rPr>
          <w:rStyle w:val="a5"/>
          <w:b w:val="0"/>
          <w:sz w:val="28"/>
          <w:szCs w:val="28"/>
          <w:lang w:val="uk-UA"/>
        </w:rPr>
        <w:t>або перегляду.</w:t>
      </w:r>
    </w:p>
    <w:p w:rsidR="001E5F3F" w:rsidRPr="009F2886" w:rsidRDefault="001E5F3F" w:rsidP="00827554">
      <w:pPr>
        <w:shd w:val="clear" w:color="auto" w:fill="FFFFFF"/>
        <w:tabs>
          <w:tab w:val="left" w:pos="864"/>
        </w:tabs>
        <w:ind w:right="51" w:firstLine="567"/>
        <w:jc w:val="both"/>
        <w:rPr>
          <w:b/>
          <w:sz w:val="28"/>
          <w:szCs w:val="28"/>
          <w:lang w:val="uk-UA"/>
        </w:rPr>
      </w:pPr>
    </w:p>
    <w:sectPr w:rsidR="001E5F3F" w:rsidRPr="009F2886" w:rsidSect="00431B5E">
      <w:headerReference w:type="default" r:id="rId8"/>
      <w:pgSz w:w="11909" w:h="16834"/>
      <w:pgMar w:top="709" w:right="660" w:bottom="1418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86" w:rsidRDefault="00EE7086" w:rsidP="00431B5E">
      <w:r>
        <w:separator/>
      </w:r>
    </w:p>
  </w:endnote>
  <w:endnote w:type="continuationSeparator" w:id="0">
    <w:p w:rsidR="00EE7086" w:rsidRDefault="00EE7086" w:rsidP="0043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86" w:rsidRDefault="00EE7086" w:rsidP="00431B5E">
      <w:r>
        <w:separator/>
      </w:r>
    </w:p>
  </w:footnote>
  <w:footnote w:type="continuationSeparator" w:id="0">
    <w:p w:rsidR="00EE7086" w:rsidRDefault="00EE7086" w:rsidP="0043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7151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1B5E" w:rsidRPr="00431B5E" w:rsidRDefault="00431B5E">
        <w:pPr>
          <w:pStyle w:val="a6"/>
          <w:jc w:val="center"/>
          <w:rPr>
            <w:sz w:val="24"/>
            <w:szCs w:val="24"/>
          </w:rPr>
        </w:pPr>
        <w:r w:rsidRPr="00431B5E">
          <w:rPr>
            <w:sz w:val="24"/>
            <w:szCs w:val="24"/>
          </w:rPr>
          <w:fldChar w:fldCharType="begin"/>
        </w:r>
        <w:r w:rsidRPr="00431B5E">
          <w:rPr>
            <w:sz w:val="24"/>
            <w:szCs w:val="24"/>
          </w:rPr>
          <w:instrText>PAGE   \* MERGEFORMAT</w:instrText>
        </w:r>
        <w:r w:rsidRPr="00431B5E">
          <w:rPr>
            <w:sz w:val="24"/>
            <w:szCs w:val="24"/>
          </w:rPr>
          <w:fldChar w:fldCharType="separate"/>
        </w:r>
        <w:r w:rsidR="007F5AC9">
          <w:rPr>
            <w:noProof/>
            <w:sz w:val="24"/>
            <w:szCs w:val="24"/>
          </w:rPr>
          <w:t>2</w:t>
        </w:r>
        <w:r w:rsidRPr="00431B5E">
          <w:rPr>
            <w:sz w:val="24"/>
            <w:szCs w:val="24"/>
          </w:rPr>
          <w:fldChar w:fldCharType="end"/>
        </w:r>
      </w:p>
    </w:sdtContent>
  </w:sdt>
  <w:p w:rsidR="00431B5E" w:rsidRDefault="00431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83536"/>
    <w:rsid w:val="00194675"/>
    <w:rsid w:val="001B11EA"/>
    <w:rsid w:val="001B5D47"/>
    <w:rsid w:val="001D12EA"/>
    <w:rsid w:val="001D2BD9"/>
    <w:rsid w:val="001E5F3F"/>
    <w:rsid w:val="001F021A"/>
    <w:rsid w:val="0022155C"/>
    <w:rsid w:val="00233DBE"/>
    <w:rsid w:val="00270B42"/>
    <w:rsid w:val="00273785"/>
    <w:rsid w:val="00294888"/>
    <w:rsid w:val="002B0696"/>
    <w:rsid w:val="002D7949"/>
    <w:rsid w:val="002E3E78"/>
    <w:rsid w:val="002E649D"/>
    <w:rsid w:val="002F6255"/>
    <w:rsid w:val="00323BCF"/>
    <w:rsid w:val="00347A8C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C03A1"/>
    <w:rsid w:val="003D7BC9"/>
    <w:rsid w:val="003D7FE9"/>
    <w:rsid w:val="003E2995"/>
    <w:rsid w:val="003E6B43"/>
    <w:rsid w:val="00414B6F"/>
    <w:rsid w:val="004156BF"/>
    <w:rsid w:val="00424805"/>
    <w:rsid w:val="00431B5E"/>
    <w:rsid w:val="00445CC2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B0FBA"/>
    <w:rsid w:val="006D109C"/>
    <w:rsid w:val="006D165E"/>
    <w:rsid w:val="006D4D52"/>
    <w:rsid w:val="006E47DB"/>
    <w:rsid w:val="006F50D8"/>
    <w:rsid w:val="007032A5"/>
    <w:rsid w:val="0071652C"/>
    <w:rsid w:val="0072000B"/>
    <w:rsid w:val="00721739"/>
    <w:rsid w:val="00763D38"/>
    <w:rsid w:val="007A36AC"/>
    <w:rsid w:val="007C1157"/>
    <w:rsid w:val="007E2660"/>
    <w:rsid w:val="007E4FE2"/>
    <w:rsid w:val="007E5969"/>
    <w:rsid w:val="007F5AC9"/>
    <w:rsid w:val="00815794"/>
    <w:rsid w:val="0081767E"/>
    <w:rsid w:val="00827554"/>
    <w:rsid w:val="00864D93"/>
    <w:rsid w:val="00882CD2"/>
    <w:rsid w:val="00886ECB"/>
    <w:rsid w:val="008E2F59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9C45B0"/>
    <w:rsid w:val="009D48C8"/>
    <w:rsid w:val="009F2886"/>
    <w:rsid w:val="00A06A9D"/>
    <w:rsid w:val="00A27C42"/>
    <w:rsid w:val="00A30931"/>
    <w:rsid w:val="00A541E8"/>
    <w:rsid w:val="00A74CA4"/>
    <w:rsid w:val="00A8715C"/>
    <w:rsid w:val="00AB5172"/>
    <w:rsid w:val="00AB7B6A"/>
    <w:rsid w:val="00AD49D0"/>
    <w:rsid w:val="00B11F53"/>
    <w:rsid w:val="00B14A91"/>
    <w:rsid w:val="00B16006"/>
    <w:rsid w:val="00B41480"/>
    <w:rsid w:val="00B50B4A"/>
    <w:rsid w:val="00B63004"/>
    <w:rsid w:val="00B775D4"/>
    <w:rsid w:val="00BA3398"/>
    <w:rsid w:val="00BF7461"/>
    <w:rsid w:val="00C2555C"/>
    <w:rsid w:val="00C44EE4"/>
    <w:rsid w:val="00C52FFE"/>
    <w:rsid w:val="00C6531F"/>
    <w:rsid w:val="00C9295F"/>
    <w:rsid w:val="00C93935"/>
    <w:rsid w:val="00CC0EDE"/>
    <w:rsid w:val="00CE3F57"/>
    <w:rsid w:val="00D33F53"/>
    <w:rsid w:val="00D33FA5"/>
    <w:rsid w:val="00D42233"/>
    <w:rsid w:val="00D51FF0"/>
    <w:rsid w:val="00D612DF"/>
    <w:rsid w:val="00D719BA"/>
    <w:rsid w:val="00D778F9"/>
    <w:rsid w:val="00D85C02"/>
    <w:rsid w:val="00D948E7"/>
    <w:rsid w:val="00DB74A2"/>
    <w:rsid w:val="00DC12E3"/>
    <w:rsid w:val="00DC15EC"/>
    <w:rsid w:val="00DD3359"/>
    <w:rsid w:val="00DE250B"/>
    <w:rsid w:val="00E162E3"/>
    <w:rsid w:val="00E21E46"/>
    <w:rsid w:val="00E36D92"/>
    <w:rsid w:val="00E71DA5"/>
    <w:rsid w:val="00E771E3"/>
    <w:rsid w:val="00ED360F"/>
    <w:rsid w:val="00EE3A0C"/>
    <w:rsid w:val="00EE445E"/>
    <w:rsid w:val="00EE7086"/>
    <w:rsid w:val="00EF28C9"/>
    <w:rsid w:val="00F76F92"/>
    <w:rsid w:val="00F8447A"/>
    <w:rsid w:val="00FA59D5"/>
    <w:rsid w:val="00FB0AF9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47B38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431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B5E"/>
  </w:style>
  <w:style w:type="paragraph" w:styleId="a8">
    <w:name w:val="footer"/>
    <w:basedOn w:val="a"/>
    <w:link w:val="a9"/>
    <w:unhideWhenUsed/>
    <w:rsid w:val="00431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31B5E"/>
  </w:style>
  <w:style w:type="paragraph" w:customStyle="1" w:styleId="Textbody">
    <w:name w:val="Text body"/>
    <w:basedOn w:val="a"/>
    <w:rsid w:val="00E36D92"/>
    <w:pPr>
      <w:widowControl/>
      <w:suppressAutoHyphens/>
      <w:autoSpaceDE/>
      <w:adjustRightInd/>
      <w:spacing w:after="140" w:line="288" w:lineRule="auto"/>
      <w:textAlignment w:val="baseline"/>
    </w:pPr>
    <w:rPr>
      <w:rFonts w:ascii="Arial" w:hAnsi="Arial" w:cs="Arial"/>
      <w:color w:val="000000"/>
      <w:kern w:val="3"/>
      <w:sz w:val="22"/>
      <w:szCs w:val="22"/>
      <w:lang w:val="en-US" w:eastAsia="zh-CN" w:bidi="hi-IN"/>
    </w:rPr>
  </w:style>
  <w:style w:type="character" w:styleId="aa">
    <w:name w:val="Hyperlink"/>
    <w:uiPriority w:val="99"/>
    <w:rsid w:val="00AB51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rgreens.com.ua/ua/development-services/business-autom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39</cp:revision>
  <cp:lastPrinted>2018-08-31T09:03:00Z</cp:lastPrinted>
  <dcterms:created xsi:type="dcterms:W3CDTF">2022-12-21T13:52:00Z</dcterms:created>
  <dcterms:modified xsi:type="dcterms:W3CDTF">2023-12-20T12:23:00Z</dcterms:modified>
</cp:coreProperties>
</file>