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F">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b/>
          <w:sz w:val="20"/>
          <w:szCs w:val="20"/>
        </w:rPr>
        <w:t>ОБҐРУНТУВАННЯ ПІДСТАВИ</w:t>
      </w:r>
    </w:p>
    <w:p w14:paraId="00000010">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для здійснення закупівлі </w:t>
      </w:r>
      <w:r>
        <w:rPr>
          <w:rFonts w:ascii="Times New Roman" w:hAnsi="Times New Roman" w:eastAsia="Times New Roman" w:cs="Times New Roman"/>
          <w:b/>
          <w:sz w:val="20"/>
          <w:szCs w:val="20"/>
        </w:rPr>
        <w:t>згідно з підпунктом 5 пункту 13 Особливостей</w:t>
      </w:r>
      <w:r>
        <w:rPr>
          <w:rFonts w:ascii="Times New Roman" w:hAnsi="Times New Roman" w:eastAsia="Times New Roman" w:cs="Times New Roman"/>
          <w:sz w:val="20"/>
          <w:szCs w:val="20"/>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р. № 1178 (далі — Особливості)</w:t>
      </w:r>
    </w:p>
    <w:p w14:paraId="00000012">
      <w:pPr>
        <w:spacing w:after="0" w:line="240" w:lineRule="auto"/>
        <w:jc w:val="center"/>
        <w:rPr>
          <w:rFonts w:ascii="Times New Roman" w:hAnsi="Times New Roman" w:eastAsia="Times New Roman" w:cs="Times New Roman"/>
          <w:b/>
          <w:sz w:val="20"/>
          <w:szCs w:val="20"/>
        </w:rPr>
      </w:pPr>
    </w:p>
    <w:p w14:paraId="30135E07">
      <w:pPr>
        <w:jc w:val="both"/>
        <w:rPr>
          <w:rFonts w:ascii="Times New Roman" w:hAnsi="Times New Roman" w:cs="Times New Roman"/>
          <w:bCs/>
          <w:sz w:val="20"/>
          <w:szCs w:val="20"/>
        </w:rPr>
      </w:pPr>
      <w:r>
        <w:rPr>
          <w:rFonts w:ascii="Times New Roman" w:hAnsi="Times New Roman" w:eastAsia="Times New Roman" w:cs="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hAnsi="Times New Roman" w:cs="Times New Roman"/>
          <w:b/>
          <w:bCs/>
          <w:sz w:val="20"/>
          <w:szCs w:val="20"/>
        </w:rPr>
        <w:t>Національне агентство України з питань державної служби</w:t>
      </w:r>
      <w:r>
        <w:rPr>
          <w:rFonts w:ascii="Times New Roman" w:hAnsi="Times New Roman" w:cs="Times New Roman"/>
          <w:bCs/>
          <w:sz w:val="20"/>
          <w:szCs w:val="20"/>
        </w:rPr>
        <w:t xml:space="preserve"> </w:t>
      </w:r>
      <w:r>
        <w:rPr>
          <w:rFonts w:ascii="Times New Roman" w:hAnsi="Times New Roman" w:cs="Times New Roman"/>
          <w:bCs/>
          <w:color w:val="00000A"/>
          <w:sz w:val="20"/>
          <w:szCs w:val="20"/>
        </w:rPr>
        <w:t xml:space="preserve">(далі – Замовник), код за ЄДРПОУ – </w:t>
      </w:r>
      <w:r>
        <w:rPr>
          <w:rFonts w:hint="default" w:ascii="Times New Roman" w:hAnsi="Times New Roman" w:cs="Times New Roman"/>
          <w:bCs/>
          <w:color w:val="00000A"/>
          <w:sz w:val="20"/>
          <w:szCs w:val="20"/>
          <w:lang w:val="uk-UA"/>
        </w:rPr>
        <w:t>39472148</w:t>
      </w:r>
      <w:r>
        <w:rPr>
          <w:rFonts w:ascii="Times New Roman" w:hAnsi="Times New Roman" w:cs="Times New Roman"/>
          <w:bCs/>
          <w:color w:val="00000A"/>
          <w:sz w:val="20"/>
          <w:szCs w:val="20"/>
        </w:rPr>
        <w:t xml:space="preserve">, </w:t>
      </w:r>
      <w:r>
        <w:rPr>
          <w:rFonts w:ascii="Times New Roman" w:hAnsi="Times New Roman" w:cs="Times New Roman"/>
          <w:bCs/>
          <w:sz w:val="20"/>
          <w:szCs w:val="20"/>
        </w:rPr>
        <w:t xml:space="preserve">юр. адреса: Україна, 01601, місто Київ, вулиця </w:t>
      </w:r>
      <w:r>
        <w:rPr>
          <w:rFonts w:ascii="Times New Roman" w:hAnsi="Times New Roman" w:cs="Times New Roman"/>
          <w:bCs/>
          <w:sz w:val="20"/>
          <w:szCs w:val="20"/>
          <w:lang w:val="uk-UA"/>
        </w:rPr>
        <w:t>Десятинна</w:t>
      </w:r>
      <w:r>
        <w:rPr>
          <w:rFonts w:ascii="Times New Roman" w:hAnsi="Times New Roman" w:cs="Times New Roman"/>
          <w:bCs/>
          <w:sz w:val="20"/>
          <w:szCs w:val="20"/>
        </w:rPr>
        <w:t xml:space="preserve">, будинок </w:t>
      </w:r>
      <w:r>
        <w:rPr>
          <w:rFonts w:hint="default" w:ascii="Times New Roman" w:hAnsi="Times New Roman" w:cs="Times New Roman"/>
          <w:bCs/>
          <w:sz w:val="20"/>
          <w:szCs w:val="20"/>
          <w:lang w:val="uk-UA"/>
        </w:rPr>
        <w:t>14</w:t>
      </w:r>
      <w:r>
        <w:rPr>
          <w:rFonts w:ascii="Times New Roman" w:hAnsi="Times New Roman" w:cs="Times New Roman"/>
          <w:bCs/>
          <w:sz w:val="20"/>
          <w:szCs w:val="20"/>
        </w:rPr>
        <w:t>.</w:t>
      </w:r>
    </w:p>
    <w:p w14:paraId="00000014">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eastAsia="Times New Roman" w:cs="Times New Roman"/>
          <w:sz w:val="20"/>
          <w:szCs w:val="20"/>
        </w:rPr>
        <w:t xml:space="preserve"> </w:t>
      </w:r>
      <w:r>
        <w:rPr>
          <w:rFonts w:ascii="Times New Roman" w:hAnsi="Times New Roman" w:eastAsia="Times New Roman" w:cs="Times New Roman"/>
          <w:b/>
          <w:sz w:val="20"/>
          <w:szCs w:val="20"/>
        </w:rPr>
        <w:t xml:space="preserve">Теплова  енергія, код 09320000-8 </w:t>
      </w:r>
      <w:r>
        <w:rPr>
          <w:rFonts w:hint="default" w:ascii="Times New Roman" w:hAnsi="Times New Roman" w:eastAsia="Times New Roman" w:cs="Times New Roman"/>
          <w:b/>
          <w:sz w:val="20"/>
          <w:szCs w:val="20"/>
          <w:lang w:val="uk-UA"/>
        </w:rPr>
        <w:t>“</w:t>
      </w:r>
      <w:r>
        <w:rPr>
          <w:rFonts w:ascii="Times New Roman" w:hAnsi="Times New Roman" w:eastAsia="Times New Roman" w:cs="Times New Roman"/>
          <w:b/>
          <w:sz w:val="20"/>
          <w:szCs w:val="20"/>
        </w:rPr>
        <w:t>Пара, гаряча вода та пов’язана продукція</w:t>
      </w:r>
      <w:r>
        <w:rPr>
          <w:rFonts w:hint="default" w:ascii="Times New Roman" w:hAnsi="Times New Roman" w:eastAsia="Times New Roman" w:cs="Times New Roman"/>
          <w:b/>
          <w:sz w:val="20"/>
          <w:szCs w:val="20"/>
          <w:lang w:val="uk-UA"/>
        </w:rPr>
        <w:t>”</w:t>
      </w:r>
      <w:r>
        <w:rPr>
          <w:rFonts w:ascii="Times New Roman" w:hAnsi="Times New Roman" w:eastAsia="Times New Roman" w:cs="Times New Roman"/>
          <w:b/>
          <w:sz w:val="20"/>
          <w:szCs w:val="20"/>
        </w:rPr>
        <w:t xml:space="preserve"> за ДК 021:2015 Єдиного закупівельного словника.</w:t>
      </w:r>
    </w:p>
    <w:p w14:paraId="3116A9FF">
      <w:pPr>
        <w:spacing w:after="0" w:line="240" w:lineRule="auto"/>
        <w:rPr>
          <w:rFonts w:ascii="Times New Roman" w:hAnsi="Times New Roman" w:eastAsia="Times New Roman" w:cs="Times New Roman"/>
          <w:b/>
          <w:sz w:val="20"/>
          <w:szCs w:val="20"/>
        </w:rPr>
      </w:pPr>
    </w:p>
    <w:p w14:paraId="26E46031">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Розмір бюджетного призначення:</w:t>
      </w:r>
      <w:r>
        <w:rPr>
          <w:rFonts w:ascii="Times New Roman" w:hAnsi="Times New Roman" w:eastAsia="Times New Roman" w:cs="Times New Roman"/>
          <w:sz w:val="20"/>
          <w:szCs w:val="20"/>
        </w:rPr>
        <w:t xml:space="preserve"> </w:t>
      </w:r>
      <w:r>
        <w:rPr>
          <w:rFonts w:hint="default" w:ascii="Times New Roman" w:hAnsi="Times New Roman" w:eastAsia="Times New Roman" w:cs="Times New Roman"/>
          <w:sz w:val="20"/>
          <w:szCs w:val="20"/>
          <w:lang w:val="uk-UA"/>
        </w:rPr>
        <w:t xml:space="preserve"> 855 682,00</w:t>
      </w:r>
      <w:r>
        <w:rPr>
          <w:rStyle w:val="30"/>
          <w:rFonts w:ascii="Times New Roman" w:hAnsi="Times New Roman" w:cs="Times New Roman"/>
          <w:color w:val="000000"/>
          <w:sz w:val="20"/>
          <w:szCs w:val="20"/>
        </w:rPr>
        <w:t xml:space="preserve"> </w:t>
      </w:r>
      <w:r>
        <w:rPr>
          <w:rFonts w:ascii="Times New Roman" w:hAnsi="Times New Roman" w:eastAsia="Times New Roman" w:cs="Times New Roman"/>
          <w:sz w:val="20"/>
          <w:szCs w:val="20"/>
        </w:rPr>
        <w:t xml:space="preserve">грн з ПДВ. </w:t>
      </w:r>
    </w:p>
    <w:p w14:paraId="0A9E45D2">
      <w:pPr>
        <w:spacing w:after="0" w:line="240" w:lineRule="auto"/>
        <w:jc w:val="both"/>
        <w:rPr>
          <w:rFonts w:hint="default" w:ascii="Times New Roman" w:hAnsi="Times New Roman" w:eastAsia="Times New Roman" w:cs="Times New Roman"/>
          <w:sz w:val="20"/>
          <w:szCs w:val="20"/>
          <w:lang w:val="uk-UA"/>
        </w:rPr>
      </w:pPr>
      <w:r>
        <w:rPr>
          <w:rFonts w:ascii="Times New Roman" w:hAnsi="Times New Roman" w:eastAsia="Times New Roman" w:cs="Times New Roman"/>
          <w:sz w:val="20"/>
          <w:szCs w:val="20"/>
          <w:lang w:val="uk-UA"/>
        </w:rPr>
        <w:t>Загальний</w:t>
      </w:r>
      <w:r>
        <w:rPr>
          <w:rFonts w:hint="default" w:ascii="Times New Roman" w:hAnsi="Times New Roman" w:eastAsia="Times New Roman" w:cs="Times New Roman"/>
          <w:sz w:val="20"/>
          <w:szCs w:val="20"/>
          <w:lang w:val="uk-UA"/>
        </w:rPr>
        <w:t xml:space="preserve"> фонд - 645 000,00 з ПДВ.</w:t>
      </w:r>
    </w:p>
    <w:p w14:paraId="6DE097E3">
      <w:pPr>
        <w:spacing w:after="0" w:line="240" w:lineRule="auto"/>
        <w:jc w:val="both"/>
        <w:rPr>
          <w:rFonts w:hint="default" w:ascii="Times New Roman" w:hAnsi="Times New Roman" w:eastAsia="Times New Roman" w:cs="Times New Roman"/>
          <w:sz w:val="20"/>
          <w:szCs w:val="20"/>
          <w:lang w:val="uk-UA"/>
        </w:rPr>
      </w:pPr>
      <w:r>
        <w:rPr>
          <w:rFonts w:hint="default" w:ascii="Times New Roman" w:hAnsi="Times New Roman" w:eastAsia="Times New Roman" w:cs="Times New Roman"/>
          <w:sz w:val="20"/>
          <w:szCs w:val="20"/>
          <w:lang w:val="uk-UA"/>
        </w:rPr>
        <w:t>За рахунок відшкодованих коштів - 210 682,00 з ПДВ.</w:t>
      </w:r>
    </w:p>
    <w:p w14:paraId="37C45599">
      <w:pPr>
        <w:spacing w:after="0" w:line="240" w:lineRule="auto"/>
        <w:jc w:val="both"/>
        <w:rPr>
          <w:rFonts w:hint="default" w:ascii="Times New Roman" w:hAnsi="Times New Roman" w:eastAsia="Times New Roman" w:cs="Times New Roman"/>
          <w:sz w:val="20"/>
          <w:szCs w:val="20"/>
          <w:lang w:val="uk-UA"/>
        </w:rPr>
      </w:pPr>
    </w:p>
    <w:p w14:paraId="00000016">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Підстави для здійснення закупівлі: </w:t>
      </w:r>
      <w:r>
        <w:rPr>
          <w:rFonts w:ascii="Times New Roman" w:hAnsi="Times New Roman" w:eastAsia="Times New Roman" w:cs="Times New Roman"/>
          <w:sz w:val="20"/>
          <w:szCs w:val="20"/>
        </w:rPr>
        <w:t>відповідно до підпункту 5 пункту 13 Особливостей</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00000017">
      <w:pPr>
        <w:tabs>
          <w:tab w:val="left" w:pos="284"/>
        </w:tabs>
        <w:spacing w:before="240"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Обґрунтування підстави для здійснення закупівлі:</w:t>
      </w:r>
      <w:r>
        <w:rPr>
          <w:rFonts w:ascii="Times New Roman" w:hAnsi="Times New Roman" w:eastAsia="Times New Roman" w:cs="Times New Roman"/>
          <w:sz w:val="20"/>
          <w:szCs w:val="20"/>
        </w:rPr>
        <w:t xml:space="preserve"> </w:t>
      </w:r>
    </w:p>
    <w:p w14:paraId="00000018">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з обов’язковим зазначенням строку дії цих обмежень.</w:t>
      </w:r>
    </w:p>
    <w:p w14:paraId="00000019">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Указом Президента України від 24.02.2022 р. № 64 (зі змінами) термін дії воєнного стану встановлено до 08.02.2025 р.</w:t>
      </w:r>
    </w:p>
    <w:p w14:paraId="0000001A">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Статтею 4 Указу № 64 Кабінету Міністрів України постановлено невідкладно:</w:t>
      </w:r>
    </w:p>
    <w:p w14:paraId="0000001B">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ввести в дію план запровадження та забезпечення заходів правового режиму воєнного стану в Україні;</w:t>
      </w:r>
    </w:p>
    <w:p w14:paraId="0000001C">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14:paraId="0000001D">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Стаття 12</w:t>
      </w:r>
      <w:r>
        <w:rPr>
          <w:rFonts w:ascii="Times New Roman" w:hAnsi="Times New Roman" w:eastAsia="Times New Roman" w:cs="Times New Roman"/>
          <w:sz w:val="20"/>
          <w:szCs w:val="20"/>
          <w:vertAlign w:val="superscript"/>
        </w:rPr>
        <w:t>1</w:t>
      </w:r>
      <w:r>
        <w:rPr>
          <w:rFonts w:ascii="Times New Roman" w:hAnsi="Times New Roman" w:eastAsia="Times New Roman" w:cs="Times New Roman"/>
          <w:sz w:val="20"/>
          <w:szCs w:val="20"/>
        </w:rPr>
        <w:t>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14:paraId="0000001E">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працює відповідно до Регламенту Кабінету Міністрів України в умовах воєнного стану;</w:t>
      </w:r>
    </w:p>
    <w:p w14:paraId="0000001F">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14:paraId="00000020">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Згідно з сьомим абзацом пункту 5 частини 1 статті 20 Закону України від 27.02.2014 р.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14:paraId="00000021">
      <w:pP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3-7 розділу Х «Прикінцеві та перехідні положення» Закону встановлено, що на період дії правового режиму воєнного стану в Україні, введеного Указом Президента України «Про введення воєнного стану в Україні» від 24.02.2022 р. </w:t>
      </w:r>
      <w:r>
        <w:fldChar w:fldCharType="begin"/>
      </w:r>
      <w:r>
        <w:instrText xml:space="preserve"> HYPERLINK "https://zakon.rada.gov.ua/laws/show/64/2022" \h </w:instrText>
      </w:r>
      <w:r>
        <w:fldChar w:fldCharType="separate"/>
      </w:r>
      <w:r>
        <w:rPr>
          <w:rFonts w:ascii="Times New Roman" w:hAnsi="Times New Roman" w:eastAsia="Times New Roman" w:cs="Times New Roman"/>
          <w:sz w:val="20"/>
          <w:szCs w:val="20"/>
        </w:rPr>
        <w:t>№ 64/2022</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xml:space="preserve">, затвердженим Законом України «Про затвердження Указу Президента України "Про введення воєнного стану в Україні"» від 24.02.2022 р. </w:t>
      </w:r>
      <w:r>
        <w:fldChar w:fldCharType="begin"/>
      </w:r>
      <w:r>
        <w:instrText xml:space="preserve"> HYPERLINK "https://zakon.rada.gov.ua/laws/show/2102-20" \h </w:instrText>
      </w:r>
      <w:r>
        <w:fldChar w:fldCharType="separate"/>
      </w:r>
      <w:r>
        <w:rPr>
          <w:rFonts w:ascii="Times New Roman" w:hAnsi="Times New Roman" w:eastAsia="Times New Roman" w:cs="Times New Roman"/>
          <w:sz w:val="20"/>
          <w:szCs w:val="20"/>
        </w:rPr>
        <w:t>№ 2102-IX</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xml:space="preserve">, та протягом 90 днів з дня його припинення або скасування особливості здійснення закупівель товарів, робіт та послуг для замовників, передбачених цим Законом (далі — Особливості), визначаються Кабінетом Міністрів України із забезпеченням захищеності таких замовників від воєнних загроз та з дотриманням вимог, встановлених </w:t>
      </w:r>
      <w:r>
        <w:fldChar w:fldCharType="begin"/>
      </w:r>
      <w:r>
        <w:instrText xml:space="preserve"> HYPERLINK "https://zakon.rada.gov.ua/laws/show/922-19" \l "n2284" \h </w:instrText>
      </w:r>
      <w:r>
        <w:fldChar w:fldCharType="separate"/>
      </w:r>
      <w:r>
        <w:rPr>
          <w:rFonts w:ascii="Times New Roman" w:hAnsi="Times New Roman" w:eastAsia="Times New Roman" w:cs="Times New Roman"/>
          <w:sz w:val="20"/>
          <w:szCs w:val="20"/>
        </w:rPr>
        <w:t>пунктом 3-8</w:t>
      </w:r>
      <w:r>
        <w:rPr>
          <w:rFonts w:ascii="Times New Roman" w:hAnsi="Times New Roman" w:eastAsia="Times New Roman" w:cs="Times New Roman"/>
          <w:sz w:val="20"/>
          <w:szCs w:val="20"/>
        </w:rPr>
        <w:fldChar w:fldCharType="end"/>
      </w:r>
      <w:r>
        <w:rPr>
          <w:rFonts w:ascii="Times New Roman" w:hAnsi="Times New Roman" w:eastAsia="Times New Roman" w:cs="Times New Roman"/>
          <w:sz w:val="20"/>
          <w:szCs w:val="20"/>
        </w:rPr>
        <w:t xml:space="preserve"> цього розділу.</w:t>
      </w:r>
    </w:p>
    <w:p w14:paraId="00000022">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rPr>
        <w:t xml:space="preserve">На виконання цієї норми Закону урядом були прийняті </w:t>
      </w:r>
      <w:r>
        <w:rPr>
          <w:rFonts w:ascii="Times New Roman" w:hAnsi="Times New Roman" w:eastAsia="Times New Roman" w:cs="Times New Roman"/>
          <w:b/>
          <w:sz w:val="20"/>
          <w:szCs w:val="20"/>
        </w:rPr>
        <w:t>Особливості.</w:t>
      </w:r>
    </w:p>
    <w:p w14:paraId="00000023">
      <w:pPr>
        <w:spacing w:after="0" w:line="240" w:lineRule="auto"/>
        <w:ind w:firstLine="709"/>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rPr>
        <w:t xml:space="preserve">Положеннями </w:t>
      </w:r>
      <w:r>
        <w:rPr>
          <w:rFonts w:ascii="Times New Roman" w:hAnsi="Times New Roman" w:eastAsia="Times New Roman" w:cs="Times New Roman"/>
          <w:b/>
          <w:sz w:val="20"/>
          <w:szCs w:val="20"/>
        </w:rPr>
        <w:t>Особливостей</w:t>
      </w:r>
      <w:r>
        <w:rPr>
          <w:rFonts w:ascii="Times New Roman" w:hAnsi="Times New Roman" w:eastAsia="Times New Roman" w:cs="Times New Roman"/>
          <w:sz w:val="20"/>
          <w:szCs w:val="20"/>
        </w:rPr>
        <w:t xml:space="preserve"> передбачено підставу для здійснення закупівлі за </w:t>
      </w:r>
      <w:r>
        <w:rPr>
          <w:rFonts w:ascii="Times New Roman" w:hAnsi="Times New Roman" w:eastAsia="Times New Roman" w:cs="Times New Roman"/>
          <w:b/>
          <w:sz w:val="20"/>
          <w:szCs w:val="20"/>
        </w:rPr>
        <w:t>підпунктом 5 пункту 13:</w:t>
      </w:r>
      <w:r>
        <w:rPr>
          <w:rFonts w:ascii="Times New Roman" w:hAnsi="Times New Roman" w:eastAsia="Times New Roman" w:cs="Times New Roman"/>
          <w:sz w:val="20"/>
          <w:szCs w:val="20"/>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w:t>
      </w:r>
      <w:r>
        <w:rPr>
          <w:rFonts w:ascii="Times New Roman" w:hAnsi="Times New Roman" w:eastAsia="Times New Roman" w:cs="Times New Roman"/>
          <w:b/>
          <w:sz w:val="20"/>
          <w:szCs w:val="20"/>
        </w:rPr>
        <w:t>яка повинна бути документально підтверджена замовником.</w:t>
      </w:r>
    </w:p>
    <w:p w14:paraId="00000024">
      <w:pPr>
        <w:spacing w:after="0" w:line="240" w:lineRule="auto"/>
        <w:jc w:val="both"/>
        <w:rPr>
          <w:rFonts w:ascii="Times New Roman" w:hAnsi="Times New Roman" w:eastAsia="Times New Roman" w:cs="Times New Roman"/>
          <w:sz w:val="20"/>
          <w:szCs w:val="20"/>
        </w:rPr>
      </w:pPr>
    </w:p>
    <w:p w14:paraId="00000025">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Обсяг закупівлі визначається на підставі річного планування, а також з урахуванням потреби замовника на період 2025 року.</w:t>
      </w:r>
    </w:p>
    <w:p w14:paraId="00000026">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Згідно з </w:t>
      </w:r>
      <w:r>
        <w:rPr>
          <w:rFonts w:ascii="Times New Roman" w:hAnsi="Times New Roman" w:eastAsia="Times New Roman" w:cs="Times New Roman"/>
          <w:b/>
          <w:sz w:val="20"/>
          <w:szCs w:val="20"/>
        </w:rPr>
        <w:t>Особливостями</w:t>
      </w:r>
      <w:r>
        <w:rPr>
          <w:rFonts w:ascii="Times New Roman" w:hAnsi="Times New Roman" w:eastAsia="Times New Roman" w:cs="Times New Roman"/>
          <w:sz w:val="20"/>
          <w:szCs w:val="20"/>
        </w:rPr>
        <w:t xml:space="preserve"> з урахуванням </w:t>
      </w:r>
      <w:r>
        <w:rPr>
          <w:rFonts w:ascii="Times New Roman" w:hAnsi="Times New Roman" w:eastAsia="Times New Roman" w:cs="Times New Roman"/>
          <w:b/>
          <w:sz w:val="20"/>
          <w:szCs w:val="20"/>
        </w:rPr>
        <w:t>Закону</w:t>
      </w:r>
      <w:r>
        <w:rPr>
          <w:rFonts w:ascii="Times New Roman" w:hAnsi="Times New Roman" w:eastAsia="Times New Roman" w:cs="Times New Roman"/>
          <w:sz w:val="20"/>
          <w:szCs w:val="20"/>
        </w:rPr>
        <w:t xml:space="preserve">  та потребами Замовника передбачено здійснити Закупівлю в обсязі  </w:t>
      </w:r>
      <w:r>
        <w:rPr>
          <w:rFonts w:hint="default" w:ascii="Times New Roman" w:hAnsi="Times New Roman" w:eastAsia="Times New Roman" w:cs="Times New Roman"/>
          <w:sz w:val="20"/>
          <w:szCs w:val="20"/>
          <w:lang w:val="uk-UA"/>
        </w:rPr>
        <w:t>228</w:t>
      </w:r>
      <w:r>
        <w:rPr>
          <w:rFonts w:ascii="Times New Roman" w:hAnsi="Times New Roman" w:eastAsia="Times New Roman" w:cs="Times New Roman"/>
          <w:sz w:val="20"/>
          <w:szCs w:val="20"/>
        </w:rPr>
        <w:t xml:space="preserve"> Гкал. на очікувану вартість закупівлі </w:t>
      </w:r>
      <w:r>
        <w:rPr>
          <w:rFonts w:hint="default" w:ascii="Times New Roman" w:hAnsi="Times New Roman" w:eastAsia="Times New Roman" w:cs="Times New Roman"/>
          <w:sz w:val="20"/>
          <w:szCs w:val="20"/>
          <w:lang w:val="uk-UA"/>
        </w:rPr>
        <w:t>855 682,00</w:t>
      </w:r>
      <w:r>
        <w:rPr>
          <w:rStyle w:val="30"/>
          <w:rFonts w:ascii="Times New Roman" w:hAnsi="Times New Roman" w:cs="Times New Roman"/>
          <w:sz w:val="20"/>
          <w:szCs w:val="20"/>
        </w:rPr>
        <w:t xml:space="preserve"> </w:t>
      </w:r>
      <w:r>
        <w:rPr>
          <w:rFonts w:ascii="Times New Roman" w:hAnsi="Times New Roman" w:eastAsia="Times New Roman" w:cs="Times New Roman"/>
          <w:sz w:val="20"/>
          <w:szCs w:val="20"/>
        </w:rPr>
        <w:t xml:space="preserve">грн з ПДВ. </w:t>
      </w:r>
    </w:p>
    <w:p w14:paraId="00000027">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Відповідно до абзацу 2 частини 1 статті 1 Закону України «Про природні монополії» від 20.04.2000 р. № 1682-ІІІ (далі – ЗУ «Про природні монополії») природна монополія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w:t>
      </w:r>
    </w:p>
    <w:p w14:paraId="00000028">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Відповідно до частини 2 статті 5 ЗУ «Про природні монополії»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w:t>
      </w:r>
    </w:p>
    <w:p w14:paraId="00000029">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Порядком складання та ведення зведеного переліку суб’єктів природних монополій, що затверджений розпорядженням Антимонопольного комітету України 28.11.2012 р. № 874-р, зареєстрованим у Міністерстві юстиції України 19.12.2012 р. за № 2119/22431, зокрема, встановлено, що Зведений перелік суб’єктів природних монополій розміщується щомісяця до 20 числа на офіційному вебсайті Антимонопольного комітету України (http://www.amc.gov.ua) — </w:t>
      </w:r>
      <w:r>
        <w:fldChar w:fldCharType="begin"/>
      </w:r>
      <w:r>
        <w:instrText xml:space="preserve"> HYPERLINK "https://amcu.gov.ua/" \h </w:instrText>
      </w:r>
      <w:r>
        <w:fldChar w:fldCharType="separate"/>
      </w:r>
      <w:r>
        <w:rPr>
          <w:rFonts w:ascii="Times New Roman" w:hAnsi="Times New Roman" w:eastAsia="Times New Roman" w:cs="Times New Roman"/>
          <w:sz w:val="20"/>
          <w:szCs w:val="20"/>
          <w:u w:val="single"/>
        </w:rPr>
        <w:t>https://amcu.gov.ua/</w:t>
      </w:r>
      <w:r>
        <w:rPr>
          <w:rFonts w:ascii="Times New Roman" w:hAnsi="Times New Roman" w:eastAsia="Times New Roman" w:cs="Times New Roman"/>
          <w:sz w:val="20"/>
          <w:szCs w:val="20"/>
          <w:u w:val="single"/>
        </w:rPr>
        <w:fldChar w:fldCharType="end"/>
      </w:r>
      <w:r>
        <w:rPr>
          <w:rFonts w:ascii="Times New Roman" w:hAnsi="Times New Roman" w:eastAsia="Times New Roman" w:cs="Times New Roman"/>
          <w:sz w:val="20"/>
          <w:szCs w:val="20"/>
        </w:rPr>
        <w:t>.</w:t>
      </w:r>
    </w:p>
    <w:p w14:paraId="0000002A">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Відповідно до постанови Національної комісії, що здійснює державне регулювання у сферах енергетики та комунальних послуг, «Про затвердження Порядку складання та ведення НКРЕКП реєстру суб’єктів природних монополій» від 19.10.2017 р. № 1268 реєстр суб’єктів природних монополій, які провадять господарську діяльність у сферах енергетики та комунальних послуг, складає та веде Національна комісія, що здійснює державне регулювання у сферах енергетики та комунальних послуг.</w:t>
      </w:r>
    </w:p>
    <w:p w14:paraId="0000002B">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Внесення до Реєстру відомостей про суб'єктів природних монополій, які провадять господарську діяльність у сферах централізованого водопостачання та водовідведення, транспортування теплової енергії відповідно до ліцензій, виданих обласними, Київською міською державними адміністраціями, здійснюється на підставі інформації, наданої до НКРЕКП обласними, Київською міською державними адміністраціями за формою, наведеною в додатку 2 до цього Порядку, не пізніше 5 числа кожного місяця.</w:t>
      </w:r>
    </w:p>
    <w:p w14:paraId="0000002C">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Відомості щодо суб'єктів природних монополій, які провадять господарську діяльність у сферах енергетики та комунальних послуг, вносяться НКРЕКП до Реєстру станом на останнє число звітного місяця. Реєстр розміщується щомісяця не пізніше 7 числа на офіційному вебсайті НКРЕКП (http://www.nerc.gov.ua/), відомості з якого щомісяця до 10 числа на електронних та паперових носіях подаються до Антимонопольного комітету України.</w:t>
      </w:r>
      <w:r>
        <w:rPr>
          <w:rFonts w:ascii="Times New Roman" w:hAnsi="Times New Roman" w:cs="Times New Roman"/>
          <w:sz w:val="20"/>
          <w:szCs w:val="20"/>
        </w:rPr>
        <w:t xml:space="preserve"> </w:t>
      </w:r>
    </w:p>
    <w:p w14:paraId="0000002D">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Відповідно до інформації зведеного переліку суб’єктів природних монополій, розміщеного на офіційному вебсайті Антимонопольного комітету України, встановлено, що КП «Київтеплоенерго» (код ЄДРПОУ 40538421) включено до зведеного переліку суб’єктів природних монополій в межах місцезнаходження замовника, а саме: м. Київ, вул. </w:t>
      </w:r>
      <w:r>
        <w:rPr>
          <w:rFonts w:ascii="Times New Roman" w:hAnsi="Times New Roman" w:eastAsia="Times New Roman" w:cs="Times New Roman"/>
          <w:sz w:val="20"/>
          <w:szCs w:val="20"/>
          <w:lang w:val="uk-UA"/>
        </w:rPr>
        <w:t>Десятинна</w:t>
      </w:r>
      <w:r>
        <w:rPr>
          <w:rFonts w:hint="default" w:ascii="Times New Roman" w:hAnsi="Times New Roman" w:eastAsia="Times New Roman" w:cs="Times New Roman"/>
          <w:sz w:val="20"/>
          <w:szCs w:val="20"/>
          <w:lang w:val="uk-UA"/>
        </w:rPr>
        <w:t>, 14</w:t>
      </w:r>
      <w:r>
        <w:rPr>
          <w:rFonts w:ascii="Times New Roman" w:hAnsi="Times New Roman" w:eastAsia="Times New Roman" w:cs="Times New Roman"/>
          <w:sz w:val="20"/>
          <w:szCs w:val="20"/>
        </w:rPr>
        <w:t xml:space="preserve"> на ринку транспортування теплової енергії магістральними і місцевими (розподільчими) тепловими мережами, займаючи монопольне становище.</w:t>
      </w:r>
    </w:p>
    <w:p w14:paraId="0000002E">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Згідно з Реєстром суб'єктів природних монополій у сферах теплопостачання, централізованого водопостачання та централізованого водовідведення КП «Київтеплоенерго» включено до Реєстру суб'єктів природних монополій у сферах теплопостачання, централізованого водопостачання та централізованого водовідведення на ринку транспортування теплової енергії магістральними і місцевими (розподільчими) тепловими мережами, який розміщено на офіційному вебсайті НКРЕКП (https://www.nerc.gov.ua/reyestri-nkrekp/reyestri-subyektiv-prirodnih-monopolij-nkrekp/reyestr-subyektiv-prirodnih-monopolij-u-sferah-teplopostachannya-centralizovanogo-vodopostachannya-ta-centralizovanogo-vodovidvedennya).</w:t>
      </w:r>
    </w:p>
    <w:p w14:paraId="0000002F">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Інформацією, що міститься у Ліцензійному реєстрі Національної комісії, що здійснює державне регулювання у сферах енергетики та комунальних послуг, на офіційному вебсайті Національної комісії, що здійснює державне регулювання у</w:t>
      </w:r>
      <w:r>
        <w:rPr>
          <w:rFonts w:hint="default" w:ascii="Times New Roman" w:hAnsi="Times New Roman" w:eastAsia="Times New Roman" w:cs="Times New Roman"/>
          <w:sz w:val="20"/>
          <w:szCs w:val="20"/>
          <w:lang w:val="uk-UA"/>
        </w:rPr>
        <w:t xml:space="preserve"> </w:t>
      </w:r>
      <w:r>
        <w:rPr>
          <w:rFonts w:ascii="Times New Roman" w:hAnsi="Times New Roman" w:eastAsia="Times New Roman" w:cs="Times New Roman"/>
          <w:sz w:val="20"/>
          <w:szCs w:val="20"/>
        </w:rPr>
        <w:t>сферах енергетики та комунальних послуг (НКРЕКП) (http://www.nerc.gov.ua/), встановлено, що КП «Київтеплоенерго» має ліцензію з 01.08.2018 р.</w:t>
      </w:r>
    </w:p>
    <w:p w14:paraId="00000030">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Мережі Замовника підведені безпосередньо до КП «Київтеплоенерго», яке, у свою чергу, є суб’єктом природних монополій, альтернатива постачання теплової енергії іншим постачальником відсутня з технічних причин, а підключення до інших джерел постачання тепла не обґрунтовано технічними можливостями.</w:t>
      </w:r>
    </w:p>
    <w:p w14:paraId="00000031">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 зв’язку з вищевикладеним постачання теплової енергії можливе виключно КП «Київтеплоенерго» у зв’язку з відсутністю конкуренції з технічних причин, що документально підтверджена. </w:t>
      </w:r>
    </w:p>
    <w:p w14:paraId="00000032">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Водночас, як передбачено чинним законодавством,</w:t>
      </w:r>
      <w:bookmarkStart w:id="0" w:name="bookmark=id.gjdgxs" w:colFirst="0" w:colLast="0"/>
      <w:bookmarkEnd w:id="0"/>
      <w:r>
        <w:rPr>
          <w:rFonts w:ascii="Times New Roman" w:hAnsi="Times New Roman" w:eastAsia="Times New Roman" w:cs="Times New Roman"/>
          <w:sz w:val="20"/>
          <w:szCs w:val="20"/>
        </w:rPr>
        <w:t xml:space="preserve"> під час здійснення закупівель замовники повинні дотримуватися принципів здійснення публічних закупівель.</w:t>
      </w:r>
    </w:p>
    <w:p w14:paraId="00000033">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Таким чином, враховуючи зазначене, з метою дотримання принципу ефективності закупівлі, якнайшвидшого забезпечення наявної потреби Замовника в умовах воєнного стану замовник прийняв рішення щодо здійснення </w:t>
      </w:r>
      <w:r>
        <w:rPr>
          <w:rFonts w:ascii="Times New Roman" w:hAnsi="Times New Roman" w:eastAsia="Times New Roman" w:cs="Times New Roman"/>
          <w:b/>
          <w:sz w:val="20"/>
          <w:szCs w:val="20"/>
        </w:rPr>
        <w:t>Закупівлі</w:t>
      </w:r>
      <w:r>
        <w:rPr>
          <w:rFonts w:ascii="Times New Roman" w:hAnsi="Times New Roman" w:eastAsia="Times New Roman" w:cs="Times New Roman"/>
          <w:sz w:val="20"/>
          <w:szCs w:val="20"/>
        </w:rPr>
        <w:t xml:space="preserve"> без застосування відкритих торгів та/або електронного каталогу для закупівлі </w:t>
      </w:r>
      <w:r>
        <w:rPr>
          <w:rFonts w:ascii="Times New Roman" w:hAnsi="Times New Roman" w:eastAsia="Times New Roman" w:cs="Times New Roman"/>
          <w:b/>
          <w:sz w:val="20"/>
          <w:szCs w:val="20"/>
        </w:rPr>
        <w:t>теплової  енергії</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 xml:space="preserve">та застосування під час здійснення </w:t>
      </w:r>
      <w:r>
        <w:rPr>
          <w:rFonts w:ascii="Times New Roman" w:hAnsi="Times New Roman" w:eastAsia="Times New Roman" w:cs="Times New Roman"/>
          <w:b/>
          <w:sz w:val="20"/>
          <w:szCs w:val="20"/>
        </w:rPr>
        <w:t xml:space="preserve">Закупівлі, </w:t>
      </w:r>
      <w:r>
        <w:rPr>
          <w:rFonts w:ascii="Times New Roman" w:hAnsi="Times New Roman" w:eastAsia="Times New Roman" w:cs="Times New Roman"/>
          <w:sz w:val="20"/>
          <w:szCs w:val="20"/>
        </w:rPr>
        <w:t xml:space="preserve">як виняток, підстави за </w:t>
      </w:r>
      <w:r>
        <w:rPr>
          <w:rFonts w:ascii="Times New Roman" w:hAnsi="Times New Roman" w:eastAsia="Times New Roman" w:cs="Times New Roman"/>
          <w:b/>
          <w:sz w:val="20"/>
          <w:szCs w:val="20"/>
        </w:rPr>
        <w:t>підпунктом 5 пункту 13 Особливостей</w:t>
      </w:r>
      <w:r>
        <w:rPr>
          <w:rFonts w:ascii="Times New Roman" w:hAnsi="Times New Roman" w:eastAsia="Times New Roman" w:cs="Times New Roman"/>
          <w:sz w:val="20"/>
          <w:szCs w:val="20"/>
        </w:rPr>
        <w:t xml:space="preserve">: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w:t>
      </w:r>
      <w:r>
        <w:rPr>
          <w:rFonts w:ascii="Times New Roman" w:hAnsi="Times New Roman" w:eastAsia="Times New Roman" w:cs="Times New Roman"/>
          <w:b/>
          <w:sz w:val="20"/>
          <w:szCs w:val="20"/>
        </w:rPr>
        <w:t>з</w:t>
      </w:r>
      <w:r>
        <w:rPr>
          <w:rFonts w:ascii="Times New Roman" w:hAnsi="Times New Roman" w:eastAsia="Times New Roman" w:cs="Times New Roman"/>
          <w:sz w:val="20"/>
          <w:szCs w:val="20"/>
        </w:rPr>
        <w:t>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і укладення договору. </w:t>
      </w:r>
    </w:p>
    <w:p w14:paraId="00000034">
      <w:pPr>
        <w:shd w:val="clear" w:color="auto" w:fill="FFFFFF"/>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 огляду на викладене, рішення щодо проведення закупівлі відповідає чинному законодавству.</w:t>
      </w:r>
    </w:p>
    <w:p w14:paraId="00000035">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За результатами закупівлі, здійсненої відповідно до цього пункту, замовники оприлюднюють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Pr>
          <w:rFonts w:ascii="Times New Roman" w:hAnsi="Times New Roman" w:eastAsia="Times New Roman" w:cs="Times New Roman"/>
          <w:sz w:val="20"/>
          <w:szCs w:val="20"/>
          <w:vertAlign w:val="superscript"/>
        </w:rPr>
        <w:t>8</w:t>
      </w:r>
      <w:r>
        <w:rPr>
          <w:rFonts w:ascii="Times New Roman" w:hAnsi="Times New Roman" w:eastAsia="Times New Roman" w:cs="Times New Roman"/>
          <w:sz w:val="20"/>
          <w:szCs w:val="20"/>
        </w:rPr>
        <w:t xml:space="preserve"> розділу Х «Прикінцеві та перехідні положення» Закону.</w:t>
      </w:r>
    </w:p>
    <w:p w14:paraId="00000036">
      <w:pPr>
        <w:spacing w:after="0" w:line="240" w:lineRule="auto"/>
        <w:ind w:firstLine="709"/>
        <w:jc w:val="both"/>
        <w:rPr>
          <w:rFonts w:ascii="Times New Roman" w:hAnsi="Times New Roman" w:eastAsia="Times New Roman" w:cs="Times New Roman"/>
          <w:sz w:val="20"/>
          <w:szCs w:val="20"/>
        </w:rPr>
      </w:pPr>
      <w:bookmarkStart w:id="1" w:name="_heading=h.30j0zll" w:colFirst="0" w:colLast="0"/>
      <w:bookmarkEnd w:id="1"/>
      <w:r>
        <w:rPr>
          <w:rFonts w:ascii="Times New Roman" w:hAnsi="Times New Roman" w:eastAsia="Times New Roman" w:cs="Times New Roman"/>
          <w:sz w:val="20"/>
          <w:szCs w:val="20"/>
        </w:rPr>
        <w:t xml:space="preserve">Разом зі звітом про договір про закупівлю, укладений без використання електронної системи закупівель, замовник оприлюднює в електронній системі закупівель договір про закупівлю та додатки до нього, а також обґрунтування підстави для здійснення замовником закупівлі відповідно до </w:t>
      </w:r>
      <w:r>
        <w:rPr>
          <w:rFonts w:ascii="Times New Roman" w:hAnsi="Times New Roman" w:eastAsia="Times New Roman" w:cs="Times New Roman"/>
          <w:b/>
          <w:sz w:val="20"/>
          <w:szCs w:val="20"/>
        </w:rPr>
        <w:t>пункту 13 Особливостей</w:t>
      </w:r>
      <w:r>
        <w:rPr>
          <w:rFonts w:ascii="Times New Roman" w:hAnsi="Times New Roman" w:eastAsia="Times New Roman" w:cs="Times New Roman"/>
          <w:sz w:val="20"/>
          <w:szCs w:val="20"/>
        </w:rPr>
        <w:t xml:space="preserve"> у формі цього файлу «Обґрунтування підстави».</w:t>
      </w:r>
    </w:p>
    <w:p w14:paraId="00000037">
      <w:pPr>
        <w:spacing w:after="0" w:line="240" w:lineRule="auto"/>
        <w:ind w:firstLine="709"/>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309D9F92">
      <w:pPr>
        <w:spacing w:before="86"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 xml:space="preserve">1. Зведений реєстр суб’єктів природних монополій за посиланням </w:t>
      </w:r>
      <w:r>
        <w:fldChar w:fldCharType="begin"/>
      </w:r>
      <w:r>
        <w:instrText xml:space="preserve"> HYPERLINK "https://amcu.gov.ua/napryami/konkurenciya/arhiv-zvedenogo-pereliku-prirodnih-monopolij/zvedenyi-perelik-pryrodnykh-monopolii-2024" </w:instrText>
      </w:r>
      <w:r>
        <w:fldChar w:fldCharType="separate"/>
      </w:r>
      <w:r>
        <w:rPr>
          <w:rStyle w:val="14"/>
          <w:rFonts w:ascii="Times New Roman" w:hAnsi="Times New Roman" w:cs="Times New Roman"/>
          <w:color w:val="auto"/>
          <w:sz w:val="20"/>
          <w:szCs w:val="20"/>
        </w:rPr>
        <w:t>https://amcu.gov.ua/napryami/konkurenciya/arhiv-zvedenogo-pereliku-prirodnih-monopolij/zvedenyi-perelik-pryrodnykh-monopolii-2024</w:t>
      </w:r>
      <w:r>
        <w:rPr>
          <w:rStyle w:val="14"/>
          <w:rFonts w:ascii="Times New Roman" w:hAnsi="Times New Roman" w:cs="Times New Roman"/>
          <w:color w:val="auto"/>
          <w:sz w:val="20"/>
          <w:szCs w:val="20"/>
        </w:rPr>
        <w:fldChar w:fldCharType="end"/>
      </w:r>
    </w:p>
    <w:p w14:paraId="00000039">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Реєстр суб’єктів природних монополій.</w:t>
      </w:r>
    </w:p>
    <w:p w14:paraId="0000003A">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Ліцензійний реєстр НКРЕКП.</w:t>
      </w:r>
    </w:p>
    <w:p w14:paraId="0000003D">
      <w:pPr>
        <w:spacing w:after="0"/>
        <w:jc w:val="both"/>
        <w:rPr>
          <w:rFonts w:hint="default" w:ascii="Times New Roman" w:hAnsi="Times New Roman" w:cs="Times New Roman"/>
          <w:sz w:val="20"/>
          <w:szCs w:val="20"/>
          <w:lang w:val="uk-UA"/>
        </w:rPr>
      </w:pPr>
      <w:bookmarkStart w:id="2" w:name="_GoBack"/>
      <w:bookmarkEnd w:id="2"/>
    </w:p>
    <w:sectPr>
      <w:pgSz w:w="11906" w:h="16838"/>
      <w:pgMar w:top="850" w:right="850" w:bottom="850" w:left="156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EB"/>
    <w:rsid w:val="00226095"/>
    <w:rsid w:val="00262002"/>
    <w:rsid w:val="002971A7"/>
    <w:rsid w:val="0039529D"/>
    <w:rsid w:val="00456095"/>
    <w:rsid w:val="004B0C9F"/>
    <w:rsid w:val="00520414"/>
    <w:rsid w:val="008471E2"/>
    <w:rsid w:val="008B1321"/>
    <w:rsid w:val="00A94DA1"/>
    <w:rsid w:val="00DA7BEB"/>
    <w:rsid w:val="00ED5B47"/>
    <w:rsid w:val="00F85531"/>
    <w:rsid w:val="214C100C"/>
    <w:rsid w:val="5D6D2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Обычный1"/>
    <w:qFormat/>
    <w:uiPriority w:val="0"/>
    <w:pPr>
      <w:spacing w:after="160" w:line="259" w:lineRule="auto"/>
    </w:pPr>
    <w:rPr>
      <w:rFonts w:ascii="Calibri" w:hAnsi="Calibri" w:eastAsia="Calibri" w:cs="Calibri"/>
      <w:sz w:val="22"/>
      <w:szCs w:val="22"/>
      <w:lang w:val="uk-UA" w:eastAsia="ru-RU" w:bidi="ar-SA"/>
    </w:rPr>
  </w:style>
  <w:style w:type="paragraph" w:styleId="11">
    <w:name w:val="Balloon Text"/>
    <w:basedOn w:val="1"/>
    <w:link w:val="31"/>
    <w:semiHidden/>
    <w:unhideWhenUsed/>
    <w:qFormat/>
    <w:uiPriority w:val="99"/>
    <w:pPr>
      <w:spacing w:after="0" w:line="240" w:lineRule="auto"/>
    </w:pPr>
    <w:rPr>
      <w:rFonts w:ascii="Segoe UI" w:hAnsi="Segoe UI" w:cs="Segoe UI"/>
      <w:sz w:val="18"/>
      <w:szCs w:val="18"/>
    </w:rPr>
  </w:style>
  <w:style w:type="character" w:styleId="12">
    <w:name w:val="Emphasis"/>
    <w:qFormat/>
    <w:uiPriority w:val="20"/>
    <w:rPr>
      <w:i/>
      <w:iCs/>
    </w:rPr>
  </w:style>
  <w:style w:type="character" w:styleId="13">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4">
    <w:name w:val="Hyperlink"/>
    <w:basedOn w:val="9"/>
    <w:unhideWhenUsed/>
    <w:qFormat/>
    <w:uiPriority w:val="99"/>
    <w:rPr>
      <w:color w:val="0563C1"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9"/>
    <w:qFormat/>
    <w:uiPriority w:val="22"/>
    <w:rPr>
      <w:b/>
      <w:bCs/>
    </w:rPr>
  </w:style>
  <w:style w:type="paragraph" w:styleId="17">
    <w:name w:val="Subtitle"/>
    <w:basedOn w:val="1"/>
    <w:next w:val="1"/>
    <w:qFormat/>
    <w:uiPriority w:val="0"/>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18">
    <w:name w:val="Title"/>
    <w:basedOn w:val="3"/>
    <w:next w:val="3"/>
    <w:uiPriority w:val="0"/>
    <w:pPr>
      <w:keepNext/>
      <w:keepLines/>
      <w:spacing w:before="480" w:after="120"/>
    </w:pPr>
    <w:rPr>
      <w:b/>
      <w:sz w:val="72"/>
      <w:szCs w:val="72"/>
    </w:rPr>
  </w:style>
  <w:style w:type="table" w:customStyle="1" w:styleId="19">
    <w:name w:val="Table Normal1"/>
    <w:qFormat/>
    <w:uiPriority w:val="0"/>
    <w:tblPr>
      <w:tblCellMar>
        <w:top w:w="0" w:type="dxa"/>
        <w:left w:w="0" w:type="dxa"/>
        <w:bottom w:w="0" w:type="dxa"/>
        <w:right w:w="0" w:type="dxa"/>
      </w:tblCellMar>
    </w:tblPr>
  </w:style>
  <w:style w:type="table" w:customStyle="1" w:styleId="20">
    <w:name w:val="Table Normal2"/>
    <w:qFormat/>
    <w:uiPriority w:val="0"/>
    <w:tblPr>
      <w:tblCellMar>
        <w:top w:w="0" w:type="dxa"/>
        <w:left w:w="0" w:type="dxa"/>
        <w:bottom w:w="0" w:type="dxa"/>
        <w:right w:w="0" w:type="dxa"/>
      </w:tblCellMar>
    </w:tblPr>
  </w:style>
  <w:style w:type="table" w:customStyle="1" w:styleId="21">
    <w:name w:val="Table Normal3"/>
    <w:uiPriority w:val="0"/>
    <w:tblPr>
      <w:tblCellMar>
        <w:top w:w="0" w:type="dxa"/>
        <w:left w:w="0" w:type="dxa"/>
        <w:bottom w:w="0" w:type="dxa"/>
        <w:right w:w="0" w:type="dxa"/>
      </w:tblCellMar>
    </w:tblPr>
  </w:style>
  <w:style w:type="table" w:customStyle="1" w:styleId="22">
    <w:name w:val="Table Normal4"/>
    <w:qFormat/>
    <w:uiPriority w:val="0"/>
    <w:tblPr>
      <w:tblCellMar>
        <w:top w:w="0" w:type="dxa"/>
        <w:left w:w="0" w:type="dxa"/>
        <w:bottom w:w="0" w:type="dxa"/>
        <w:right w:w="0" w:type="dxa"/>
      </w:tblCellMar>
    </w:tblPr>
  </w:style>
  <w:style w:type="table" w:customStyle="1" w:styleId="23">
    <w:name w:val="Table Normal5"/>
    <w:uiPriority w:val="0"/>
    <w:tblPr>
      <w:tblCellMar>
        <w:top w:w="0" w:type="dxa"/>
        <w:left w:w="0" w:type="dxa"/>
        <w:bottom w:w="0" w:type="dxa"/>
        <w:right w:w="0" w:type="dxa"/>
      </w:tblCellMar>
    </w:tblPr>
  </w:style>
  <w:style w:type="character" w:customStyle="1" w:styleId="24">
    <w:name w:val="rvts0"/>
    <w:basedOn w:val="9"/>
    <w:uiPriority w:val="0"/>
  </w:style>
  <w:style w:type="paragraph" w:styleId="25">
    <w:name w:val="List Paragraph"/>
    <w:basedOn w:val="1"/>
    <w:qFormat/>
    <w:uiPriority w:val="34"/>
    <w:pPr>
      <w:spacing w:after="200" w:line="276" w:lineRule="auto"/>
      <w:ind w:left="720"/>
      <w:contextualSpacing/>
    </w:pPr>
    <w:rPr>
      <w:lang w:val="ru-RU"/>
    </w:rPr>
  </w:style>
  <w:style w:type="paragraph" w:customStyle="1" w:styleId="26">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rvts44"/>
    <w:basedOn w:val="9"/>
    <w:qFormat/>
    <w:uiPriority w:val="0"/>
  </w:style>
  <w:style w:type="character" w:customStyle="1" w:styleId="28">
    <w:name w:val="Heading #2_"/>
    <w:basedOn w:val="9"/>
    <w:link w:val="29"/>
    <w:uiPriority w:val="0"/>
    <w:rPr>
      <w:rFonts w:ascii="Times New Roman" w:hAnsi="Times New Roman" w:eastAsia="Times New Roman" w:cs="Times New Roman"/>
      <w:shd w:val="clear" w:color="auto" w:fill="FFFFFF"/>
    </w:rPr>
  </w:style>
  <w:style w:type="paragraph" w:customStyle="1" w:styleId="29">
    <w:name w:val="Heading #2"/>
    <w:basedOn w:val="1"/>
    <w:link w:val="28"/>
    <w:uiPriority w:val="0"/>
    <w:pPr>
      <w:widowControl w:val="0"/>
      <w:shd w:val="clear" w:color="auto" w:fill="FFFFFF"/>
      <w:spacing w:before="240" w:after="60" w:line="0" w:lineRule="atLeast"/>
      <w:outlineLvl w:val="1"/>
    </w:pPr>
    <w:rPr>
      <w:rFonts w:ascii="Times New Roman" w:hAnsi="Times New Roman" w:eastAsia="Times New Roman" w:cs="Times New Roman"/>
    </w:rPr>
  </w:style>
  <w:style w:type="character" w:customStyle="1" w:styleId="30">
    <w:name w:val="docdata"/>
    <w:basedOn w:val="9"/>
    <w:qFormat/>
    <w:uiPriority w:val="0"/>
  </w:style>
  <w:style w:type="character" w:customStyle="1" w:styleId="31">
    <w:name w:val="Текст выноски Знак"/>
    <w:basedOn w:val="9"/>
    <w:link w:val="11"/>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1951</Words>
  <Characters>11124</Characters>
  <Lines>92</Lines>
  <Paragraphs>26</Paragraphs>
  <TotalTime>50</TotalTime>
  <ScaleCrop>false</ScaleCrop>
  <LinksUpToDate>false</LinksUpToDate>
  <CharactersWithSpaces>13049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2025-01-08T14:07:00Z</dcterms:created>
  <dc:creator>User</dc:creator>
  <cp:lastModifiedBy>Verkhoturova.VM</cp:lastModifiedBy>
  <cp:lastPrinted>2025-01-17T14:08:00Z</cp:lastPrinted>
  <dcterms:modified xsi:type="dcterms:W3CDTF">2025-01-21T12:21:12Z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021F0E2202504E659D7F450669924B61_12</vt:lpwstr>
  </property>
</Properties>
</file>