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84" w:rsidRDefault="00CA0C84" w:rsidP="00CA0C84">
      <w:pPr>
        <w:jc w:val="both"/>
        <w:rPr>
          <w:sz w:val="24"/>
          <w:szCs w:val="24"/>
          <w:lang w:val="uk-UA"/>
        </w:rPr>
      </w:pPr>
    </w:p>
    <w:tbl>
      <w:tblPr>
        <w:tblStyle w:val="a3"/>
        <w:tblW w:w="15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599"/>
      </w:tblGrid>
      <w:tr w:rsidR="00BB3264" w:rsidTr="00BB3264">
        <w:tc>
          <w:tcPr>
            <w:tcW w:w="9634" w:type="dxa"/>
          </w:tcPr>
          <w:p w:rsidR="00BB3264" w:rsidRDefault="00BB3264" w:rsidP="00E7436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599" w:type="dxa"/>
          </w:tcPr>
          <w:p w:rsidR="00BB3264" w:rsidRPr="00BB3264" w:rsidRDefault="00BB3264" w:rsidP="00BB3264">
            <w:pPr>
              <w:jc w:val="both"/>
              <w:rPr>
                <w:sz w:val="24"/>
                <w:szCs w:val="24"/>
                <w:lang w:val="uk-UA"/>
              </w:rPr>
            </w:pPr>
            <w:r w:rsidRPr="00BB3264">
              <w:rPr>
                <w:sz w:val="24"/>
                <w:szCs w:val="24"/>
                <w:lang w:val="uk-UA"/>
              </w:rPr>
              <w:t>Додаток 1</w:t>
            </w:r>
          </w:p>
          <w:p w:rsidR="00BB3264" w:rsidRPr="00BB3264" w:rsidRDefault="00BB3264" w:rsidP="00BB3264">
            <w:pPr>
              <w:rPr>
                <w:sz w:val="24"/>
                <w:szCs w:val="24"/>
                <w:lang w:val="uk-UA"/>
              </w:rPr>
            </w:pPr>
            <w:r w:rsidRPr="00BB3264">
              <w:rPr>
                <w:sz w:val="24"/>
                <w:szCs w:val="24"/>
                <w:lang w:val="uk-UA"/>
              </w:rPr>
              <w:t>до наказу Державної служби України з питань праці</w:t>
            </w:r>
          </w:p>
          <w:p w:rsidR="00BB3264" w:rsidRPr="00BB3264" w:rsidRDefault="00BB3264" w:rsidP="00BB3264">
            <w:pPr>
              <w:jc w:val="both"/>
              <w:rPr>
                <w:sz w:val="24"/>
                <w:szCs w:val="24"/>
                <w:lang w:val="uk-UA"/>
              </w:rPr>
            </w:pPr>
            <w:r w:rsidRPr="00BB3264">
              <w:rPr>
                <w:sz w:val="24"/>
                <w:szCs w:val="24"/>
                <w:lang w:val="uk-UA"/>
              </w:rPr>
              <w:t xml:space="preserve">від 15.12.2021- № 195 </w:t>
            </w:r>
            <w:r>
              <w:rPr>
                <w:sz w:val="24"/>
                <w:szCs w:val="24"/>
                <w:lang w:val="uk-UA"/>
              </w:rPr>
              <w:t>(зі зміною, внесеною наказом Держпраці від 28.07.2022</w:t>
            </w:r>
            <w:r w:rsidR="0051095F">
              <w:rPr>
                <w:sz w:val="24"/>
                <w:szCs w:val="24"/>
                <w:lang w:val="uk-UA"/>
              </w:rPr>
              <w:t xml:space="preserve"> № 127</w:t>
            </w:r>
            <w:r>
              <w:rPr>
                <w:sz w:val="24"/>
                <w:szCs w:val="24"/>
                <w:lang w:val="uk-UA"/>
              </w:rPr>
              <w:t>)</w:t>
            </w:r>
          </w:p>
          <w:p w:rsidR="00BB3264" w:rsidRDefault="00BB3264" w:rsidP="00BB3264">
            <w:pPr>
              <w:ind w:right="-32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B3264" w:rsidRDefault="00BB3264" w:rsidP="00E7436D">
      <w:pPr>
        <w:ind w:firstLine="9072"/>
        <w:jc w:val="both"/>
        <w:rPr>
          <w:sz w:val="24"/>
          <w:szCs w:val="24"/>
          <w:lang w:val="uk-UA"/>
        </w:rPr>
      </w:pPr>
    </w:p>
    <w:p w:rsidR="00C97093" w:rsidRPr="00C97093" w:rsidRDefault="00C97093" w:rsidP="00BB3264">
      <w:pPr>
        <w:rPr>
          <w:b/>
          <w:lang w:val="uk-UA"/>
        </w:rPr>
      </w:pPr>
    </w:p>
    <w:p w:rsidR="00D874C2" w:rsidRPr="00C97093" w:rsidRDefault="00D874C2" w:rsidP="00D874C2">
      <w:pPr>
        <w:jc w:val="center"/>
        <w:rPr>
          <w:b/>
          <w:lang w:val="uk-UA"/>
        </w:rPr>
      </w:pPr>
      <w:r w:rsidRPr="00C97093">
        <w:rPr>
          <w:b/>
          <w:lang w:val="uk-UA"/>
        </w:rPr>
        <w:t>План</w:t>
      </w:r>
    </w:p>
    <w:p w:rsidR="00D874C2" w:rsidRPr="00C97093" w:rsidRDefault="00D874C2" w:rsidP="00D874C2">
      <w:pPr>
        <w:jc w:val="center"/>
        <w:rPr>
          <w:b/>
          <w:lang w:val="uk-UA"/>
        </w:rPr>
      </w:pPr>
      <w:r w:rsidRPr="00C97093">
        <w:rPr>
          <w:b/>
          <w:lang w:val="uk-UA"/>
        </w:rPr>
        <w:t xml:space="preserve">діяльності Державної служби України з питань праці </w:t>
      </w:r>
    </w:p>
    <w:p w:rsidR="00D874C2" w:rsidRPr="00C97093" w:rsidRDefault="00D874C2" w:rsidP="00D874C2">
      <w:pPr>
        <w:jc w:val="center"/>
        <w:rPr>
          <w:b/>
          <w:lang w:val="uk-UA"/>
        </w:rPr>
      </w:pPr>
      <w:r w:rsidRPr="00C97093">
        <w:rPr>
          <w:b/>
          <w:lang w:val="uk-UA"/>
        </w:rPr>
        <w:t>з підготовки проектів регуляторних актів на 20</w:t>
      </w:r>
      <w:r>
        <w:rPr>
          <w:b/>
          <w:lang w:val="uk-UA"/>
        </w:rPr>
        <w:t>2</w:t>
      </w:r>
      <w:r w:rsidR="00053921">
        <w:rPr>
          <w:b/>
          <w:lang w:val="uk-UA"/>
        </w:rPr>
        <w:t>2</w:t>
      </w:r>
      <w:r w:rsidRPr="00C97093">
        <w:rPr>
          <w:b/>
          <w:lang w:val="uk-UA"/>
        </w:rPr>
        <w:t xml:space="preserve"> рік</w:t>
      </w:r>
    </w:p>
    <w:p w:rsidR="00D874C2" w:rsidRPr="00C97093" w:rsidRDefault="00D874C2" w:rsidP="00D874C2">
      <w:pPr>
        <w:jc w:val="center"/>
        <w:rPr>
          <w:b/>
          <w:lang w:val="uk-UA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536"/>
        <w:gridCol w:w="5954"/>
        <w:gridCol w:w="2863"/>
        <w:gridCol w:w="1276"/>
      </w:tblGrid>
      <w:tr w:rsidR="00D874C2" w:rsidRPr="00C97093" w:rsidTr="00A349E5">
        <w:trPr>
          <w:trHeight w:val="748"/>
        </w:trPr>
        <w:tc>
          <w:tcPr>
            <w:tcW w:w="78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№</w:t>
            </w:r>
          </w:p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3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Назва регуляторного акта</w:t>
            </w:r>
          </w:p>
        </w:tc>
        <w:tc>
          <w:tcPr>
            <w:tcW w:w="5954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Обґрунтування необхідності прийняття регуляторного акта</w:t>
            </w:r>
          </w:p>
        </w:tc>
        <w:tc>
          <w:tcPr>
            <w:tcW w:w="2863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Структурний підрозділ, відповідальний за розроблення</w:t>
            </w:r>
          </w:p>
        </w:tc>
        <w:tc>
          <w:tcPr>
            <w:tcW w:w="127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Строк виконання (квартал)</w:t>
            </w:r>
          </w:p>
        </w:tc>
      </w:tr>
      <w:tr w:rsidR="00D874C2" w:rsidRPr="00C97093" w:rsidTr="00A349E5">
        <w:tc>
          <w:tcPr>
            <w:tcW w:w="78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97093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5</w:t>
            </w:r>
          </w:p>
        </w:tc>
      </w:tr>
      <w:tr w:rsidR="00D874C2" w:rsidRPr="00915362" w:rsidTr="00E86BDC">
        <w:tc>
          <w:tcPr>
            <w:tcW w:w="15415" w:type="dxa"/>
            <w:gridSpan w:val="5"/>
            <w:shd w:val="clear" w:color="auto" w:fill="auto"/>
          </w:tcPr>
          <w:p w:rsidR="00D874C2" w:rsidRPr="00915362" w:rsidRDefault="008970C5" w:rsidP="00E86BDC">
            <w:pPr>
              <w:tabs>
                <w:tab w:val="left" w:pos="372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 xml:space="preserve">  1</w:t>
            </w:r>
            <w:r w:rsidR="00D874C2" w:rsidRPr="00915362">
              <w:rPr>
                <w:b/>
                <w:sz w:val="24"/>
                <w:szCs w:val="24"/>
                <w:lang w:val="uk-UA"/>
              </w:rPr>
              <w:t>.</w:t>
            </w:r>
            <w:r w:rsidR="00D874C2" w:rsidRPr="00915362">
              <w:rPr>
                <w:sz w:val="24"/>
                <w:szCs w:val="24"/>
                <w:lang w:val="uk-UA"/>
              </w:rPr>
              <w:t xml:space="preserve"> </w:t>
            </w:r>
            <w:r w:rsidR="00D874C2" w:rsidRPr="00915362">
              <w:rPr>
                <w:b/>
                <w:sz w:val="24"/>
                <w:szCs w:val="24"/>
                <w:lang w:val="uk-UA"/>
              </w:rPr>
              <w:t>Проекти актів Кабінету Міністрів України:</w:t>
            </w:r>
          </w:p>
        </w:tc>
      </w:tr>
      <w:tr w:rsidR="004E1CF0" w:rsidRPr="00AE02B5" w:rsidTr="00CF0683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F0" w:rsidRPr="00AE02B5" w:rsidRDefault="004E1CF0" w:rsidP="004E1CF0">
            <w:pPr>
              <w:jc w:val="center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4E1CF0" w:rsidRPr="00AE02B5" w:rsidRDefault="004E1CF0" w:rsidP="004E1CF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Проект постанови Кабінету Міністрів України «Деякі питання встановлення мінімальних вимог до забезпечення знаками безпеки та здоров’я на роботі</w:t>
            </w:r>
            <w:bookmarkStart w:id="0" w:name="_tyjcwt"/>
            <w:bookmarkEnd w:id="0"/>
            <w:r w:rsidRPr="00AE02B5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4E1CF0" w:rsidRPr="00AE02B5" w:rsidRDefault="004E1CF0" w:rsidP="004E1CF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імплементації положень Директиви Ради № 92/58/ЄЕС від 24.06.1992 про мінімальні вимоги до забезпечення показників безпеки й/або гігієни праці на робочому місці</w:t>
            </w:r>
          </w:p>
        </w:tc>
        <w:tc>
          <w:tcPr>
            <w:tcW w:w="2863" w:type="dxa"/>
            <w:shd w:val="clear" w:color="auto" w:fill="auto"/>
          </w:tcPr>
          <w:p w:rsidR="004E1CF0" w:rsidRPr="00AE02B5" w:rsidRDefault="00100FAF" w:rsidP="004E1CF0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AE02B5">
              <w:rPr>
                <w:noProof/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</w:p>
        </w:tc>
        <w:tc>
          <w:tcPr>
            <w:tcW w:w="1276" w:type="dxa"/>
            <w:shd w:val="clear" w:color="auto" w:fill="auto"/>
          </w:tcPr>
          <w:p w:rsidR="00312EE6" w:rsidRDefault="004E1CF0" w:rsidP="004E1CF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</w:t>
            </w:r>
            <w:r w:rsidR="00312EE6">
              <w:rPr>
                <w:sz w:val="24"/>
                <w:szCs w:val="24"/>
                <w:lang w:val="uk-UA"/>
              </w:rPr>
              <w:t>І</w:t>
            </w:r>
          </w:p>
          <w:p w:rsidR="004E1CF0" w:rsidRPr="00AE02B5" w:rsidRDefault="004E1CF0" w:rsidP="004E1CF0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квартал </w:t>
            </w:r>
          </w:p>
          <w:p w:rsidR="004E1CF0" w:rsidRPr="00AE02B5" w:rsidRDefault="004E1CF0" w:rsidP="004E1CF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6D07" w:rsidRPr="00AE02B5" w:rsidTr="00A349E5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AE02B5" w:rsidRDefault="00FE6D07" w:rsidP="00FE6D07">
            <w:pPr>
              <w:jc w:val="center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1.</w:t>
            </w:r>
            <w:r w:rsidR="00F359C7" w:rsidRPr="00AE02B5">
              <w:rPr>
                <w:sz w:val="24"/>
                <w:szCs w:val="24"/>
                <w:lang w:val="uk-UA"/>
              </w:rPr>
              <w:t>2</w:t>
            </w:r>
            <w:r w:rsidRPr="00AE02B5">
              <w:rPr>
                <w:sz w:val="24"/>
                <w:szCs w:val="24"/>
                <w:lang w:val="uk-UA"/>
              </w:rPr>
              <w:t>.</w:t>
            </w:r>
          </w:p>
          <w:p w:rsidR="00FE6D07" w:rsidRPr="00AE02B5" w:rsidRDefault="00FE6D07" w:rsidP="00FE6D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AE02B5" w:rsidRDefault="00FE6D07" w:rsidP="00FE6D07">
            <w:pPr>
              <w:pStyle w:val="1"/>
              <w:keepNext w:val="0"/>
              <w:widowControl w:val="0"/>
              <w:jc w:val="both"/>
              <w:rPr>
                <w:b w:val="0"/>
                <w:szCs w:val="24"/>
              </w:rPr>
            </w:pPr>
            <w:r w:rsidRPr="00AE02B5">
              <w:rPr>
                <w:b w:val="0"/>
                <w:szCs w:val="24"/>
              </w:rPr>
              <w:t>Проект постанови Кабінету Міністрів України</w:t>
            </w:r>
            <w:r w:rsidRPr="00AE02B5">
              <w:t xml:space="preserve"> «</w:t>
            </w:r>
            <w:r w:rsidRPr="00AE02B5">
              <w:rPr>
                <w:b w:val="0"/>
                <w:szCs w:val="24"/>
              </w:rPr>
              <w:t>Про внесення змін до</w:t>
            </w:r>
            <w:r w:rsidRPr="00AE02B5">
              <w:rPr>
                <w:b w:val="0"/>
              </w:rPr>
              <w:t xml:space="preserve"> </w:t>
            </w:r>
            <w:r w:rsidRPr="00AE02B5">
              <w:rPr>
                <w:b w:val="0"/>
                <w:szCs w:val="24"/>
              </w:rPr>
              <w:t>постанови Кабінету Міністрів України</w:t>
            </w:r>
            <w:r w:rsidR="00276A04" w:rsidRPr="00AE02B5">
              <w:rPr>
                <w:b w:val="0"/>
                <w:szCs w:val="24"/>
              </w:rPr>
              <w:t xml:space="preserve"> </w:t>
            </w:r>
            <w:r w:rsidR="00AE02B5">
              <w:rPr>
                <w:b w:val="0"/>
                <w:szCs w:val="24"/>
              </w:rPr>
              <w:br/>
            </w:r>
            <w:r w:rsidR="00276A04" w:rsidRPr="00AE02B5">
              <w:rPr>
                <w:b w:val="0"/>
                <w:szCs w:val="24"/>
              </w:rPr>
              <w:t>від 17 квітня 2019 р.</w:t>
            </w:r>
            <w:r w:rsidRPr="00AE02B5">
              <w:rPr>
                <w:b w:val="0"/>
                <w:szCs w:val="24"/>
              </w:rPr>
              <w:t xml:space="preserve"> № 337»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5" w:rsidRPr="00AE02B5" w:rsidRDefault="00FE6D07" w:rsidP="00AE0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Розробляється з метою усунення недоліків, виявлених </w:t>
            </w:r>
            <w:r w:rsidR="00AE02B5">
              <w:rPr>
                <w:sz w:val="24"/>
                <w:szCs w:val="24"/>
                <w:lang w:val="uk-UA"/>
              </w:rPr>
              <w:t>у</w:t>
            </w:r>
            <w:r w:rsidRPr="00AE02B5">
              <w:rPr>
                <w:sz w:val="24"/>
                <w:szCs w:val="24"/>
                <w:lang w:val="uk-UA"/>
              </w:rPr>
              <w:t xml:space="preserve"> процесі застосування чинного Порядку розслідування та обліку нещасних випадків, професійних захворювань та аварій на виробництві, та удосконалення самої процедури розслідування нещасних випадків, професійних захворювань та аварій на виробництві</w:t>
            </w:r>
            <w:r w:rsidR="00AE02B5">
              <w:rPr>
                <w:sz w:val="24"/>
                <w:szCs w:val="24"/>
                <w:lang w:val="uk-UA"/>
              </w:rPr>
              <w:t xml:space="preserve">, затвердженого </w:t>
            </w:r>
            <w:r w:rsidR="00AE02B5" w:rsidRPr="00AE02B5">
              <w:rPr>
                <w:sz w:val="24"/>
                <w:szCs w:val="24"/>
                <w:lang w:val="uk-UA"/>
              </w:rPr>
              <w:t>постанов</w:t>
            </w:r>
            <w:r w:rsidR="00AE02B5">
              <w:rPr>
                <w:sz w:val="24"/>
                <w:szCs w:val="24"/>
                <w:lang w:val="uk-UA"/>
              </w:rPr>
              <w:t>ою</w:t>
            </w:r>
            <w:r w:rsidR="00AE02B5" w:rsidRPr="00AE02B5">
              <w:rPr>
                <w:sz w:val="24"/>
                <w:szCs w:val="24"/>
                <w:lang w:val="uk-UA"/>
              </w:rPr>
              <w:t xml:space="preserve"> Кабінету Міністрів України </w:t>
            </w:r>
          </w:p>
          <w:p w:rsidR="00FE6D07" w:rsidRPr="00AE02B5" w:rsidRDefault="00AE02B5" w:rsidP="00AE02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від 17 квітня 2019 р. № 337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AE02B5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інспекційної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AE02B5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B4648A">
        <w:trPr>
          <w:trHeight w:val="357"/>
        </w:trPr>
        <w:tc>
          <w:tcPr>
            <w:tcW w:w="786" w:type="dxa"/>
            <w:shd w:val="clear" w:color="auto" w:fill="auto"/>
          </w:tcPr>
          <w:p w:rsidR="0051095F" w:rsidRPr="00010476" w:rsidRDefault="0051095F" w:rsidP="005109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51095F" w:rsidRDefault="0051095F" w:rsidP="0051095F">
            <w:pPr>
              <w:pStyle w:val="1"/>
              <w:keepNext w:val="0"/>
              <w:widowControl w:val="0"/>
              <w:jc w:val="both"/>
              <w:rPr>
                <w:b w:val="0"/>
                <w:szCs w:val="24"/>
              </w:rPr>
            </w:pPr>
            <w:r w:rsidRPr="00B52791">
              <w:rPr>
                <w:b w:val="0"/>
                <w:szCs w:val="24"/>
              </w:rPr>
              <w:t>Проект постанови Кабінету Міністрів України «</w:t>
            </w:r>
            <w:r w:rsidRPr="00B52791">
              <w:rPr>
                <w:b w:val="0"/>
                <w:bCs/>
                <w:szCs w:val="24"/>
              </w:rPr>
              <w:t xml:space="preserve">Про внесення змін до </w:t>
            </w:r>
            <w:r w:rsidRPr="00B52791">
              <w:rPr>
                <w:b w:val="0"/>
                <w:szCs w:val="24"/>
              </w:rPr>
              <w:t xml:space="preserve">Порядку видачі дозволів на виконання робіт підвищеної небезпеки та на експлуатацію </w:t>
            </w:r>
            <w:r w:rsidRPr="00B52791">
              <w:rPr>
                <w:b w:val="0"/>
                <w:szCs w:val="24"/>
              </w:rPr>
              <w:lastRenderedPageBreak/>
              <w:t>(застосування) машин, механізмів, устатковання підвищеної небезпеки»</w:t>
            </w:r>
          </w:p>
          <w:p w:rsidR="0051095F" w:rsidRPr="008204B2" w:rsidRDefault="0051095F" w:rsidP="0051095F">
            <w:pPr>
              <w:rPr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:rsidR="0051095F" w:rsidRPr="00B52791" w:rsidRDefault="0051095F" w:rsidP="0051095F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B52791">
              <w:rPr>
                <w:sz w:val="24"/>
                <w:szCs w:val="24"/>
                <w:lang w:val="uk-UA"/>
              </w:rPr>
              <w:lastRenderedPageBreak/>
              <w:t xml:space="preserve">Розробляється з метою цифровізації адміністративної послуги з видачі дозволів на виконання робіт підвищеної небезпеки та на </w:t>
            </w:r>
            <w:r w:rsidRPr="00B52791">
              <w:rPr>
                <w:sz w:val="24"/>
                <w:szCs w:val="24"/>
                <w:lang w:val="uk-UA"/>
              </w:rPr>
              <w:lastRenderedPageBreak/>
              <w:t xml:space="preserve">експлуатацію (застосування) машин, механізмів, устатковання підвищеної небезпеки </w:t>
            </w:r>
          </w:p>
        </w:tc>
        <w:tc>
          <w:tcPr>
            <w:tcW w:w="2863" w:type="dxa"/>
            <w:shd w:val="clear" w:color="auto" w:fill="auto"/>
          </w:tcPr>
          <w:p w:rsidR="0051095F" w:rsidRPr="00B52791" w:rsidRDefault="0051095F" w:rsidP="0051095F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B52791">
              <w:rPr>
                <w:noProof/>
                <w:sz w:val="24"/>
                <w:szCs w:val="24"/>
                <w:lang w:val="uk-UA"/>
              </w:rPr>
              <w:lastRenderedPageBreak/>
              <w:t xml:space="preserve">Відділ </w:t>
            </w:r>
            <w:r>
              <w:rPr>
                <w:noProof/>
                <w:sz w:val="24"/>
                <w:szCs w:val="24"/>
                <w:lang w:val="uk-UA"/>
              </w:rPr>
              <w:t xml:space="preserve">ринкового нагляду та надання </w:t>
            </w:r>
            <w:r w:rsidRPr="00B52791">
              <w:rPr>
                <w:noProof/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  <w:bookmarkStart w:id="1" w:name="_GoBack"/>
            <w:bookmarkEnd w:id="1"/>
          </w:p>
        </w:tc>
      </w:tr>
      <w:tr w:rsidR="0051095F" w:rsidRPr="00AE02B5" w:rsidTr="00E86BDC">
        <w:trPr>
          <w:trHeight w:val="376"/>
        </w:trPr>
        <w:tc>
          <w:tcPr>
            <w:tcW w:w="15415" w:type="dxa"/>
            <w:gridSpan w:val="5"/>
            <w:shd w:val="clear" w:color="auto" w:fill="auto"/>
          </w:tcPr>
          <w:p w:rsidR="0051095F" w:rsidRPr="00AE02B5" w:rsidRDefault="0051095F" w:rsidP="0051095F">
            <w:pPr>
              <w:tabs>
                <w:tab w:val="left" w:pos="394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AE02B5">
              <w:rPr>
                <w:b/>
                <w:sz w:val="24"/>
                <w:szCs w:val="24"/>
                <w:lang w:val="uk-UA"/>
              </w:rPr>
              <w:lastRenderedPageBreak/>
              <w:t xml:space="preserve">  2. Проекти наказів Міністерства економіки України: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spacing w:line="216" w:lineRule="auto"/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 xml:space="preserve">Проект наказу </w:t>
            </w:r>
            <w:r w:rsidRPr="00AE02B5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AE02B5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щодо безпеки </w:t>
            </w:r>
            <w:r w:rsidRPr="00AE02B5">
              <w:rPr>
                <w:sz w:val="24"/>
                <w:szCs w:val="24"/>
                <w:lang w:val="uk-UA"/>
              </w:rPr>
              <w:t>під час експлуатації магістральних трубопроводів для транспортування рідкого аміаку (аміакопроводів)»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Розробляється </w:t>
            </w:r>
            <w:r>
              <w:rPr>
                <w:sz w:val="24"/>
                <w:szCs w:val="24"/>
                <w:lang w:val="uk-UA"/>
              </w:rPr>
              <w:t xml:space="preserve">з метою правового врегулювання </w:t>
            </w:r>
            <w:r w:rsidRPr="00AE02B5">
              <w:rPr>
                <w:sz w:val="24"/>
                <w:szCs w:val="24"/>
                <w:lang w:val="uk-UA"/>
              </w:rPr>
              <w:t>та необхідністю підвищення рівня безпеки праці під час експлуатації магістральних трубопроводів для транспортування рідкого аміаку (аміакопроводів)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AE02B5">
              <w:rPr>
                <w:noProof/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  <w:p w:rsidR="0051095F" w:rsidRPr="00AE02B5" w:rsidRDefault="0051095F" w:rsidP="0051095F">
            <w:pPr>
              <w:jc w:val="both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IV квартал </w:t>
            </w:r>
          </w:p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>Мінімальних вимог щодо безпеки та здоров’я на роботі під час експлуатації ліфтів</w:t>
            </w:r>
            <w:r w:rsidRPr="00AE02B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правого врегулювання та необхідністю підвищення рівня безпеки праці під час виготовлення, монтажу, експлуатації, ремонту,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E02B5">
              <w:rPr>
                <w:sz w:val="24"/>
                <w:szCs w:val="24"/>
                <w:lang w:val="uk-UA"/>
              </w:rPr>
              <w:t>реконструкції та  модернізації ліфтів, підйомників та їх складових частин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>Мінімальних вимог щодо безпеки та здоров’я на роботі під час експлуатації</w:t>
            </w:r>
            <w:r w:rsidRPr="00AE02B5">
              <w:rPr>
                <w:sz w:val="24"/>
                <w:szCs w:val="24"/>
                <w:lang w:val="uk-UA"/>
              </w:rPr>
              <w:t xml:space="preserve"> атракціонів і розважальних пристроїв»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правого врегулювання та необхідністю підвищення рівня безпеки праці під час експлуатації атракціонів і розважальних пристроїв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2.4.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 xml:space="preserve">щодо безпеки та здоров’я на роботі під час </w:t>
            </w:r>
            <w:r w:rsidRPr="00AE02B5">
              <w:rPr>
                <w:sz w:val="24"/>
                <w:szCs w:val="24"/>
                <w:lang w:val="uk-UA"/>
              </w:rPr>
              <w:t>експлуатації автомобільних газонаповнювальних компресорних станцій (АГНКС)»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Розробляється з метою правого врегулювання та необхідністю підвищення рівня безпеки праці </w:t>
            </w: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 xml:space="preserve">під час </w:t>
            </w:r>
            <w:r w:rsidRPr="00AE02B5">
              <w:rPr>
                <w:sz w:val="24"/>
                <w:szCs w:val="24"/>
                <w:lang w:val="uk-UA"/>
              </w:rPr>
              <w:t xml:space="preserve">експлуатації автомобільних газонаповнювальних компресорних станцій (АГНКС) 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 xml:space="preserve">щодо безпеки та здоров’я під час </w:t>
            </w:r>
            <w:r w:rsidRPr="00AE02B5">
              <w:rPr>
                <w:sz w:val="24"/>
                <w:szCs w:val="24"/>
                <w:lang w:val="uk-UA"/>
              </w:rPr>
              <w:t>експлуатації систем газопостачання»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Розробляється з метою правового врегулювання та необхідністю підвищення рівня безпеки праці </w:t>
            </w: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 xml:space="preserve">під час </w:t>
            </w:r>
            <w:r w:rsidRPr="00AE02B5">
              <w:rPr>
                <w:sz w:val="24"/>
                <w:szCs w:val="24"/>
                <w:lang w:val="uk-UA"/>
              </w:rPr>
              <w:t>експлуатації систем газопостачання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2.6.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AE02B5">
              <w:rPr>
                <w:sz w:val="24"/>
                <w:szCs w:val="24"/>
                <w:shd w:val="clear" w:color="auto" w:fill="FFFFFF"/>
                <w:lang w:val="uk-UA"/>
              </w:rPr>
              <w:t>щодо безпеки та здоров’я на роботі під час виконання газонебезпечних робіт»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правового врегулювання та необхідністю підвищення рівня безпеки праці під час ведення газонебезпечних робіт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lastRenderedPageBreak/>
              <w:t>2.7.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AE02B5">
              <w:rPr>
                <w:sz w:val="24"/>
                <w:szCs w:val="24"/>
                <w:lang w:val="uk-UA"/>
              </w:rPr>
              <w:t>щодо безпеки та здоров’я працівників лісового господарства та під час виконання робіт із зеленими насадженнями»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правового врегулювання та необхідністю підвищення рівня безпеки праці працівників лісового господарства та під час виконання робіт із зеленими насадженнями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2.8.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AE02B5">
              <w:rPr>
                <w:rStyle w:val="213pt"/>
                <w:rFonts w:eastAsia="Arial Unicode MS"/>
                <w:color w:val="auto"/>
                <w:sz w:val="24"/>
                <w:szCs w:val="24"/>
              </w:rPr>
              <w:t>Порядку проведення технічного розслідування обставин та причин виникнення аварій, пов’язаних з використанням газу в побуті</w:t>
            </w:r>
            <w:r w:rsidRPr="00AE02B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Розробляється з метою правового врегулювання </w:t>
            </w:r>
            <w:r w:rsidRPr="00AE02B5">
              <w:rPr>
                <w:rStyle w:val="213pt"/>
                <w:rFonts w:eastAsia="Arial Unicode MS"/>
                <w:color w:val="auto"/>
                <w:sz w:val="24"/>
                <w:szCs w:val="24"/>
              </w:rPr>
              <w:t>проведення технічного розслідування обставин та причин виникнення аварій, пов’язаних з використанням газу в побуті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2.9.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Мінімальних вимог щодо безпеки та здоров'я під час експлуатації електроустановок»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правового врегулювання та визначення єдиних, актуальних вимог щодо безпеки та здоров’я на роботі під час експлуатації електроустановок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Правил безпеки у вугільних шахтах»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врегулювання правових відносин, що виникають у процесі безпечного ведення гірничих робіт у вугільних шахтах та підвищення рівня безпечного ведення гірничих робіт у вугільних шахтах, створення належних, безпечних умов праці у відповідній сфері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ІІ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2.11.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Інструкції з навчання працівників шахт»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актуалізації вимог нормативно-правового акта до чинних норм законодавства з питань охорони праці та промислової безпеки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2.12.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Інструкції з контролю складу рудникового повітря, визначення </w:t>
            </w:r>
            <w:proofErr w:type="spellStart"/>
            <w:r w:rsidRPr="00AE02B5">
              <w:rPr>
                <w:sz w:val="24"/>
                <w:szCs w:val="24"/>
                <w:lang w:val="uk-UA"/>
              </w:rPr>
              <w:t>багатогазовості</w:t>
            </w:r>
            <w:proofErr w:type="spellEnd"/>
            <w:r w:rsidRPr="00AE02B5">
              <w:rPr>
                <w:sz w:val="24"/>
                <w:szCs w:val="24"/>
                <w:lang w:val="uk-UA"/>
              </w:rPr>
              <w:t xml:space="preserve"> та встановлення категорій шахт за метаном»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актуалізації вимог нормативно-правового акта до чинних норм законодавства з питань охорони праці та промислової безпеки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t>2.13.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Правил техніки безпеки і виробничої санітарії під час обробки природнього каменю»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правого врегулювання та необхідністю підвищення рівня безпеки праці під час обробки природнього каменю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E02B5">
              <w:rPr>
                <w:color w:val="000000"/>
                <w:sz w:val="24"/>
                <w:szCs w:val="24"/>
                <w:lang w:val="uk-UA"/>
              </w:rPr>
              <w:lastRenderedPageBreak/>
              <w:t>2.14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Правил безпеки під час поводження з вибуховими матеріалами промислового призначення» 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правого врегулювання та необхідністю підвищення рівня безпеки праці під час поводження з вибуховими матеріалами промислового призначення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2.15.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Правил безпеки в нафтогазодобувній промисловості»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правового врегулювання та необхідністю підвищення рівня безпеки праці у нафтогазодобувній промисловості, врахування сучасних технологій розвідки, буріння та видобування вуглеводнів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Управління гірничого нагляду 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2.16.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8D101F">
              <w:rPr>
                <w:sz w:val="24"/>
                <w:szCs w:val="24"/>
                <w:shd w:val="clear" w:color="auto" w:fill="FFFFFF"/>
                <w:lang w:val="uk-UA"/>
              </w:rPr>
              <w:t xml:space="preserve">Проект наказу </w:t>
            </w:r>
            <w:r w:rsidRPr="008D101F">
              <w:rPr>
                <w:sz w:val="24"/>
                <w:szCs w:val="24"/>
                <w:lang w:val="uk-UA"/>
              </w:rPr>
              <w:t>Міністерства економіки України</w:t>
            </w:r>
            <w:r w:rsidRPr="008D101F">
              <w:rPr>
                <w:sz w:val="24"/>
                <w:szCs w:val="24"/>
                <w:shd w:val="clear" w:color="auto" w:fill="FFFFFF"/>
                <w:lang w:val="uk-UA"/>
              </w:rPr>
              <w:t xml:space="preserve"> «Про затвердження </w:t>
            </w:r>
            <w:r w:rsidRPr="008D101F">
              <w:rPr>
                <w:sz w:val="24"/>
                <w:szCs w:val="24"/>
                <w:lang w:val="uk-UA"/>
              </w:rPr>
              <w:t>Вимог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D101F">
              <w:rPr>
                <w:sz w:val="24"/>
                <w:szCs w:val="24"/>
                <w:lang w:val="uk-UA"/>
              </w:rPr>
              <w:t>до експертних організацій, які мають намір виконувати (виконують) експертизу стану охорони праці та безпеки промислового виробництва та щодо відповідності машин, механізмів,</w:t>
            </w:r>
            <w:r w:rsidRPr="00AE02B5">
              <w:rPr>
                <w:sz w:val="24"/>
                <w:szCs w:val="24"/>
                <w:lang w:val="uk-UA"/>
              </w:rPr>
              <w:t xml:space="preserve"> устатковання підвищеної небезпеки вимогам законодавства про охорону праці та промислової безпеки»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правового врегулювання питання подання висновку експертизи в електронному вигляді та приведення деяких норм до вимог законодавства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  <w:r w:rsidRPr="00AE02B5">
              <w:rPr>
                <w:noProof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І квартал </w:t>
            </w:r>
          </w:p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1095F" w:rsidRPr="00AE02B5" w:rsidTr="00A349E5">
        <w:tc>
          <w:tcPr>
            <w:tcW w:w="786" w:type="dxa"/>
            <w:shd w:val="clear" w:color="auto" w:fill="auto"/>
          </w:tcPr>
          <w:p w:rsidR="0051095F" w:rsidRPr="00AE02B5" w:rsidRDefault="0051095F" w:rsidP="0051095F">
            <w:pPr>
              <w:jc w:val="center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2.1</w:t>
            </w:r>
            <w:r>
              <w:rPr>
                <w:sz w:val="24"/>
                <w:szCs w:val="24"/>
                <w:lang w:val="uk-UA"/>
              </w:rPr>
              <w:t>7</w:t>
            </w:r>
            <w:r w:rsidRPr="00AE02B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1095F" w:rsidRPr="00AE02B5" w:rsidRDefault="0051095F" w:rsidP="0051095F">
            <w:pPr>
              <w:pStyle w:val="1"/>
              <w:jc w:val="both"/>
              <w:rPr>
                <w:szCs w:val="24"/>
              </w:rPr>
            </w:pPr>
            <w:r w:rsidRPr="00AE02B5">
              <w:rPr>
                <w:b w:val="0"/>
                <w:szCs w:val="24"/>
                <w:shd w:val="clear" w:color="auto" w:fill="FFFFFF"/>
              </w:rPr>
              <w:t xml:space="preserve">Проект наказу </w:t>
            </w:r>
            <w:r w:rsidRPr="00AE02B5">
              <w:rPr>
                <w:b w:val="0"/>
                <w:szCs w:val="24"/>
              </w:rPr>
              <w:t>Міністерства економіки України</w:t>
            </w:r>
            <w:r w:rsidRPr="00AE02B5">
              <w:rPr>
                <w:b w:val="0"/>
                <w:szCs w:val="24"/>
                <w:shd w:val="clear" w:color="auto" w:fill="FFFFFF"/>
              </w:rPr>
              <w:t xml:space="preserve"> «</w:t>
            </w:r>
            <w:r w:rsidRPr="00AE02B5">
              <w:rPr>
                <w:rStyle w:val="rvts23"/>
                <w:b w:val="0"/>
                <w:szCs w:val="28"/>
              </w:rPr>
              <w:t xml:space="preserve">Про затвердження Вимог </w:t>
            </w:r>
            <w:r w:rsidRPr="00AE02B5">
              <w:rPr>
                <w:b w:val="0"/>
                <w:color w:val="212529"/>
                <w:szCs w:val="28"/>
                <w:shd w:val="clear" w:color="auto" w:fill="FFFFFF"/>
              </w:rPr>
              <w:t xml:space="preserve">до  діяльності спеціалізованих та експертних організацій, передбачених постановою Кабінету Міністрів України </w:t>
            </w:r>
            <w:r w:rsidRPr="00AE02B5">
              <w:rPr>
                <w:b w:val="0"/>
                <w:color w:val="212529"/>
                <w:szCs w:val="28"/>
                <w:shd w:val="clear" w:color="auto" w:fill="FFFFFF"/>
              </w:rPr>
              <w:br/>
              <w:t>від 26 травня 2004 р. № 687</w:t>
            </w:r>
            <w:r w:rsidRPr="00AE02B5">
              <w:rPr>
                <w:szCs w:val="24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Розробляється з метою встановлення вимог до експертних та спеціалізованих організацій у зв’язку з внесенням змін до постанови Кабінету Міністрів України від 26.05.2004, що були пов’язані з  унормування діяльності експертних та спеціалізованих організацій та перерозподілу повноважень щодо проведення технічних оглядів та експертних обстежень</w:t>
            </w:r>
          </w:p>
        </w:tc>
        <w:tc>
          <w:tcPr>
            <w:tcW w:w="2863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  <w:r w:rsidRPr="00AE02B5">
              <w:rPr>
                <w:noProof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  <w:r w:rsidRPr="00AE02B5">
              <w:rPr>
                <w:sz w:val="24"/>
                <w:szCs w:val="24"/>
                <w:lang w:val="uk-UA"/>
              </w:rPr>
              <w:t xml:space="preserve">ІІ квартал </w:t>
            </w:r>
          </w:p>
          <w:p w:rsidR="0051095F" w:rsidRPr="00AE02B5" w:rsidRDefault="0051095F" w:rsidP="0051095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859E4" w:rsidRDefault="00C859E4" w:rsidP="00D874C2">
      <w:pPr>
        <w:ind w:firstLine="9072"/>
        <w:jc w:val="both"/>
        <w:rPr>
          <w:sz w:val="24"/>
          <w:szCs w:val="24"/>
          <w:lang w:val="uk-UA"/>
        </w:rPr>
      </w:pPr>
    </w:p>
    <w:p w:rsidR="00C859E4" w:rsidRDefault="00C859E4" w:rsidP="00D874C2">
      <w:pPr>
        <w:ind w:firstLine="9072"/>
        <w:jc w:val="both"/>
        <w:rPr>
          <w:sz w:val="24"/>
          <w:szCs w:val="24"/>
          <w:lang w:val="uk-UA"/>
        </w:rPr>
      </w:pPr>
    </w:p>
    <w:p w:rsidR="00C859E4" w:rsidRDefault="00C859E4" w:rsidP="00D874C2">
      <w:pPr>
        <w:ind w:firstLine="9072"/>
        <w:jc w:val="both"/>
        <w:rPr>
          <w:sz w:val="24"/>
          <w:szCs w:val="24"/>
          <w:lang w:val="uk-UA"/>
        </w:rPr>
      </w:pPr>
    </w:p>
    <w:p w:rsidR="00C859E4" w:rsidRDefault="00C859E4" w:rsidP="00D874C2">
      <w:pPr>
        <w:ind w:firstLine="9072"/>
        <w:jc w:val="both"/>
        <w:rPr>
          <w:sz w:val="24"/>
          <w:szCs w:val="24"/>
          <w:lang w:val="uk-UA"/>
        </w:rPr>
      </w:pPr>
    </w:p>
    <w:p w:rsidR="008D101F" w:rsidRDefault="008D101F" w:rsidP="00D874C2">
      <w:pPr>
        <w:ind w:firstLine="9072"/>
        <w:jc w:val="both"/>
        <w:rPr>
          <w:sz w:val="24"/>
          <w:szCs w:val="24"/>
          <w:lang w:val="uk-UA"/>
        </w:rPr>
      </w:pPr>
    </w:p>
    <w:p w:rsidR="008D101F" w:rsidRDefault="008D101F" w:rsidP="00D874C2">
      <w:pPr>
        <w:ind w:firstLine="9072"/>
        <w:jc w:val="both"/>
        <w:rPr>
          <w:sz w:val="24"/>
          <w:szCs w:val="24"/>
          <w:lang w:val="uk-UA"/>
        </w:rPr>
      </w:pPr>
    </w:p>
    <w:p w:rsidR="008D101F" w:rsidRDefault="008D101F" w:rsidP="00D874C2">
      <w:pPr>
        <w:ind w:firstLine="9072"/>
        <w:jc w:val="both"/>
        <w:rPr>
          <w:sz w:val="24"/>
          <w:szCs w:val="24"/>
          <w:lang w:val="uk-UA"/>
        </w:rPr>
      </w:pPr>
    </w:p>
    <w:p w:rsidR="008D101F" w:rsidRDefault="008D101F" w:rsidP="00D874C2">
      <w:pPr>
        <w:ind w:firstLine="9072"/>
        <w:jc w:val="both"/>
        <w:rPr>
          <w:sz w:val="24"/>
          <w:szCs w:val="24"/>
          <w:lang w:val="uk-UA"/>
        </w:rPr>
      </w:pPr>
    </w:p>
    <w:p w:rsidR="00C859E4" w:rsidRDefault="00C859E4" w:rsidP="00855E6A">
      <w:pPr>
        <w:jc w:val="both"/>
        <w:rPr>
          <w:sz w:val="24"/>
          <w:szCs w:val="24"/>
          <w:lang w:val="uk-UA"/>
        </w:rPr>
      </w:pPr>
    </w:p>
    <w:p w:rsidR="00D874C2" w:rsidRPr="00915362" w:rsidRDefault="00D874C2" w:rsidP="00D874C2">
      <w:pPr>
        <w:ind w:firstLine="9072"/>
        <w:jc w:val="both"/>
        <w:rPr>
          <w:sz w:val="24"/>
          <w:szCs w:val="24"/>
          <w:lang w:val="uk-UA"/>
        </w:rPr>
      </w:pPr>
      <w:r w:rsidRPr="00915362">
        <w:rPr>
          <w:sz w:val="24"/>
          <w:szCs w:val="24"/>
          <w:lang w:val="uk-UA"/>
        </w:rPr>
        <w:lastRenderedPageBreak/>
        <w:t>Додаток 2</w:t>
      </w:r>
    </w:p>
    <w:p w:rsidR="00D874C2" w:rsidRPr="00915362" w:rsidRDefault="00D874C2" w:rsidP="00D874C2">
      <w:pPr>
        <w:ind w:firstLine="9072"/>
        <w:jc w:val="both"/>
        <w:rPr>
          <w:sz w:val="24"/>
          <w:szCs w:val="24"/>
          <w:lang w:val="uk-UA"/>
        </w:rPr>
      </w:pPr>
      <w:r w:rsidRPr="00915362">
        <w:rPr>
          <w:sz w:val="24"/>
          <w:szCs w:val="24"/>
          <w:lang w:val="uk-UA"/>
        </w:rPr>
        <w:t>до наказу Державної служби України з питань праці</w:t>
      </w:r>
    </w:p>
    <w:p w:rsidR="00CA0C84" w:rsidRPr="00C97093" w:rsidRDefault="00CA0C84" w:rsidP="00CA0C84">
      <w:pPr>
        <w:ind w:firstLine="9072"/>
        <w:jc w:val="both"/>
        <w:rPr>
          <w:sz w:val="24"/>
          <w:szCs w:val="24"/>
          <w:lang w:val="uk-UA"/>
        </w:rPr>
      </w:pPr>
      <w:r w:rsidRPr="00C97093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15.12.2021</w:t>
      </w:r>
      <w:r w:rsidRPr="00C97093">
        <w:rPr>
          <w:color w:val="FFFFFF"/>
          <w:sz w:val="24"/>
          <w:szCs w:val="24"/>
          <w:lang w:val="uk-UA"/>
        </w:rPr>
        <w:t>-</w:t>
      </w:r>
      <w:r w:rsidRPr="00C97093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195</w:t>
      </w:r>
    </w:p>
    <w:p w:rsidR="00D874C2" w:rsidRDefault="00D874C2" w:rsidP="00D874C2">
      <w:pPr>
        <w:ind w:firstLine="11340"/>
        <w:jc w:val="both"/>
        <w:rPr>
          <w:b/>
          <w:lang w:val="uk-UA"/>
        </w:rPr>
      </w:pPr>
    </w:p>
    <w:p w:rsidR="00FD2402" w:rsidRPr="00915362" w:rsidRDefault="00FD2402" w:rsidP="00D874C2">
      <w:pPr>
        <w:ind w:firstLine="11340"/>
        <w:jc w:val="both"/>
        <w:rPr>
          <w:b/>
          <w:lang w:val="uk-UA"/>
        </w:rPr>
      </w:pPr>
    </w:p>
    <w:p w:rsidR="00D874C2" w:rsidRPr="00265675" w:rsidRDefault="00D874C2" w:rsidP="00D874C2">
      <w:pPr>
        <w:jc w:val="center"/>
        <w:rPr>
          <w:b/>
          <w:sz w:val="24"/>
          <w:szCs w:val="24"/>
          <w:lang w:val="uk-UA"/>
        </w:rPr>
      </w:pPr>
      <w:r w:rsidRPr="00265675">
        <w:rPr>
          <w:b/>
          <w:sz w:val="24"/>
          <w:szCs w:val="24"/>
          <w:lang w:val="uk-UA"/>
        </w:rPr>
        <w:t>План-графік Державної служби України з питань праці</w:t>
      </w:r>
    </w:p>
    <w:p w:rsidR="00D874C2" w:rsidRPr="00265675" w:rsidRDefault="00D874C2" w:rsidP="00D874C2">
      <w:pPr>
        <w:jc w:val="center"/>
        <w:rPr>
          <w:b/>
          <w:sz w:val="24"/>
          <w:szCs w:val="24"/>
          <w:lang w:val="uk-UA"/>
        </w:rPr>
      </w:pPr>
      <w:r w:rsidRPr="00265675">
        <w:rPr>
          <w:b/>
          <w:sz w:val="24"/>
          <w:szCs w:val="24"/>
          <w:lang w:val="uk-UA"/>
        </w:rPr>
        <w:t>з відстеження результативності регуляторних актів на 202</w:t>
      </w:r>
      <w:r w:rsidR="00053921" w:rsidRPr="00265675">
        <w:rPr>
          <w:b/>
          <w:sz w:val="24"/>
          <w:szCs w:val="24"/>
          <w:lang w:val="uk-UA"/>
        </w:rPr>
        <w:t>2</w:t>
      </w:r>
      <w:r w:rsidRPr="00265675">
        <w:rPr>
          <w:b/>
          <w:sz w:val="24"/>
          <w:szCs w:val="24"/>
          <w:lang w:val="uk-UA"/>
        </w:rPr>
        <w:t xml:space="preserve"> рік</w:t>
      </w:r>
    </w:p>
    <w:p w:rsidR="00D874C2" w:rsidRPr="00265675" w:rsidRDefault="00D874C2" w:rsidP="00D874C2">
      <w:pPr>
        <w:rPr>
          <w:sz w:val="24"/>
          <w:szCs w:val="24"/>
          <w:lang w:val="uk-UA"/>
        </w:rPr>
      </w:pPr>
    </w:p>
    <w:tbl>
      <w:tblPr>
        <w:tblW w:w="15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68"/>
        <w:gridCol w:w="4110"/>
        <w:gridCol w:w="1447"/>
        <w:gridCol w:w="3119"/>
        <w:gridCol w:w="1275"/>
        <w:gridCol w:w="1426"/>
        <w:gridCol w:w="35"/>
      </w:tblGrid>
      <w:tr w:rsidR="00D874C2" w:rsidRPr="00265675" w:rsidTr="00DB0EBD">
        <w:trPr>
          <w:gridAfter w:val="1"/>
          <w:wAfter w:w="35" w:type="dxa"/>
        </w:trPr>
        <w:tc>
          <w:tcPr>
            <w:tcW w:w="720" w:type="dxa"/>
            <w:shd w:val="clear" w:color="auto" w:fill="auto"/>
          </w:tcPr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5675">
              <w:rPr>
                <w:b/>
                <w:sz w:val="24"/>
                <w:szCs w:val="24"/>
                <w:lang w:val="uk-UA"/>
              </w:rPr>
              <w:t>№</w:t>
            </w:r>
          </w:p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567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8" w:type="dxa"/>
            <w:shd w:val="clear" w:color="auto" w:fill="auto"/>
          </w:tcPr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5675">
              <w:rPr>
                <w:b/>
                <w:sz w:val="24"/>
                <w:szCs w:val="24"/>
                <w:lang w:val="uk-UA"/>
              </w:rPr>
              <w:t>Дата та номер регуляторного акта (проекту регуляторного акта)</w:t>
            </w:r>
          </w:p>
        </w:tc>
        <w:tc>
          <w:tcPr>
            <w:tcW w:w="4110" w:type="dxa"/>
            <w:shd w:val="clear" w:color="auto" w:fill="auto"/>
          </w:tcPr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5675">
              <w:rPr>
                <w:b/>
                <w:sz w:val="24"/>
                <w:szCs w:val="24"/>
                <w:lang w:val="uk-UA"/>
              </w:rPr>
              <w:t>Назва регуляторного акта (проекту регуляторного акта)</w:t>
            </w:r>
          </w:p>
        </w:tc>
        <w:tc>
          <w:tcPr>
            <w:tcW w:w="1447" w:type="dxa"/>
            <w:shd w:val="clear" w:color="auto" w:fill="auto"/>
          </w:tcPr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5675">
              <w:rPr>
                <w:b/>
                <w:sz w:val="24"/>
                <w:szCs w:val="24"/>
                <w:lang w:val="uk-UA"/>
              </w:rPr>
              <w:t>Вид відстеження</w:t>
            </w:r>
          </w:p>
        </w:tc>
        <w:tc>
          <w:tcPr>
            <w:tcW w:w="3119" w:type="dxa"/>
            <w:shd w:val="clear" w:color="auto" w:fill="auto"/>
          </w:tcPr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5675">
              <w:rPr>
                <w:b/>
                <w:sz w:val="24"/>
                <w:szCs w:val="24"/>
                <w:lang w:val="uk-UA"/>
              </w:rPr>
              <w:t>Відповідальний за проведення відстеження</w:t>
            </w:r>
          </w:p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5675">
              <w:rPr>
                <w:b/>
                <w:sz w:val="24"/>
                <w:szCs w:val="24"/>
                <w:lang w:val="uk-UA"/>
              </w:rPr>
              <w:t>Строк виконання заходів</w:t>
            </w:r>
          </w:p>
        </w:tc>
        <w:tc>
          <w:tcPr>
            <w:tcW w:w="1426" w:type="dxa"/>
            <w:shd w:val="clear" w:color="auto" w:fill="auto"/>
          </w:tcPr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5675">
              <w:rPr>
                <w:b/>
                <w:sz w:val="24"/>
                <w:szCs w:val="24"/>
                <w:lang w:val="uk-UA"/>
              </w:rPr>
              <w:t>Вид даних</w:t>
            </w:r>
          </w:p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874C2" w:rsidRPr="00265675" w:rsidTr="00DB0EBD">
        <w:tc>
          <w:tcPr>
            <w:tcW w:w="15600" w:type="dxa"/>
            <w:gridSpan w:val="8"/>
            <w:shd w:val="clear" w:color="auto" w:fill="auto"/>
          </w:tcPr>
          <w:p w:rsidR="00D874C2" w:rsidRPr="00265675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5675">
              <w:rPr>
                <w:b/>
                <w:sz w:val="24"/>
                <w:szCs w:val="24"/>
                <w:lang w:val="uk-UA"/>
              </w:rPr>
              <w:t>Постанови Кабінету Міністрів України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постанова Кабінету Міністрів України від 03</w:t>
            </w:r>
            <w:r>
              <w:rPr>
                <w:sz w:val="24"/>
                <w:szCs w:val="24"/>
                <w:lang w:val="uk-UA"/>
              </w:rPr>
              <w:t xml:space="preserve"> лютого </w:t>
            </w:r>
            <w:r w:rsidRPr="00265675">
              <w:rPr>
                <w:sz w:val="24"/>
                <w:szCs w:val="24"/>
                <w:lang w:val="uk-UA"/>
              </w:rPr>
              <w:t>2021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  <w:r w:rsidRPr="00265675">
              <w:rPr>
                <w:sz w:val="24"/>
                <w:szCs w:val="24"/>
                <w:lang w:val="uk-UA"/>
              </w:rPr>
              <w:t xml:space="preserve"> № 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переліку машин, механізмів, устатковання підвищеної небезпеки та внесення змін до деяких постанов Кабінету Міністрів України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855E6A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  <w:r w:rsidRPr="00265675">
              <w:rPr>
                <w:noProof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ІІ квартал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постанова Кабінету Міністрів України від 20</w:t>
            </w:r>
            <w:r>
              <w:rPr>
                <w:sz w:val="24"/>
                <w:szCs w:val="24"/>
                <w:lang w:val="uk-UA"/>
              </w:rPr>
              <w:t xml:space="preserve"> травня </w:t>
            </w:r>
            <w:r w:rsidRPr="00265675">
              <w:rPr>
                <w:sz w:val="24"/>
                <w:szCs w:val="24"/>
                <w:lang w:val="uk-UA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  <w:r>
              <w:rPr>
                <w:sz w:val="24"/>
                <w:szCs w:val="24"/>
                <w:lang w:val="uk-UA"/>
              </w:rPr>
              <w:br/>
            </w:r>
            <w:r w:rsidRPr="00265675">
              <w:rPr>
                <w:sz w:val="24"/>
                <w:szCs w:val="24"/>
                <w:lang w:val="uk-UA"/>
              </w:rPr>
              <w:t>№ 383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ind w:right="-96"/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Про затвердження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 за додержанням законодавства у сферах охорони праці, промислової безпеки, гігієни праці, поводження з вибуховими матеріалами промислового призначення, праці, зайнятості населення, зайнятості та працевлаштування осіб з інвалідністю, здійснення державного гірничого нагляду Державною службою </w:t>
            </w:r>
            <w:r>
              <w:rPr>
                <w:sz w:val="24"/>
                <w:szCs w:val="24"/>
                <w:lang w:val="uk-UA"/>
              </w:rPr>
              <w:t xml:space="preserve">України </w:t>
            </w:r>
            <w:r w:rsidRPr="00265675">
              <w:rPr>
                <w:sz w:val="24"/>
                <w:szCs w:val="24"/>
                <w:lang w:val="uk-UA"/>
              </w:rPr>
              <w:t>з питань праці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855E6A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ind w:right="-36"/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Відділ організаційного забезпечення та планування 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постанова Кабінету Міністрів України від 28</w:t>
            </w:r>
            <w:r>
              <w:rPr>
                <w:sz w:val="24"/>
                <w:szCs w:val="24"/>
                <w:lang w:val="uk-UA"/>
              </w:rPr>
              <w:t xml:space="preserve"> грудня </w:t>
            </w:r>
            <w:r w:rsidRPr="00265675">
              <w:rPr>
                <w:sz w:val="24"/>
                <w:szCs w:val="24"/>
                <w:lang w:val="uk-UA"/>
              </w:rPr>
              <w:t>2016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  <w:r>
              <w:rPr>
                <w:sz w:val="24"/>
                <w:szCs w:val="24"/>
                <w:lang w:val="uk-UA"/>
              </w:rPr>
              <w:br/>
            </w:r>
            <w:r w:rsidRPr="00265675">
              <w:rPr>
                <w:sz w:val="24"/>
                <w:szCs w:val="24"/>
                <w:lang w:val="uk-UA"/>
              </w:rPr>
              <w:t>№ 1025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Про затвердження Технічного регламенту простих посудин високого тиску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ІІІ квартал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постанова Кабінету Міністрів України від 21</w:t>
            </w:r>
            <w:r>
              <w:rPr>
                <w:sz w:val="24"/>
                <w:szCs w:val="24"/>
                <w:lang w:val="uk-UA"/>
              </w:rPr>
              <w:t xml:space="preserve"> червня </w:t>
            </w:r>
            <w:r w:rsidRPr="00265675">
              <w:rPr>
                <w:sz w:val="24"/>
                <w:szCs w:val="24"/>
                <w:lang w:val="uk-UA"/>
              </w:rPr>
              <w:t>2017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  <w:r>
              <w:rPr>
                <w:sz w:val="24"/>
                <w:szCs w:val="24"/>
                <w:lang w:val="uk-UA"/>
              </w:rPr>
              <w:br/>
            </w:r>
            <w:r w:rsidRPr="00265675">
              <w:rPr>
                <w:sz w:val="24"/>
                <w:szCs w:val="24"/>
                <w:lang w:val="uk-UA"/>
              </w:rPr>
              <w:t>№ 438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Про затвердження Технічного регламенту ліфтів і компонентів безпеки для ліфтів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ІІІ квартал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468" w:type="dxa"/>
            <w:shd w:val="clear" w:color="auto" w:fill="auto"/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постанова Кабінету Міністрів України </w:t>
            </w:r>
            <w:r w:rsidRPr="00265675">
              <w:rPr>
                <w:noProof/>
                <w:sz w:val="24"/>
                <w:szCs w:val="24"/>
                <w:lang w:val="uk-UA"/>
              </w:rPr>
              <w:t>від 26</w:t>
            </w:r>
            <w:r>
              <w:rPr>
                <w:noProof/>
                <w:sz w:val="24"/>
                <w:szCs w:val="24"/>
                <w:lang w:val="uk-UA"/>
              </w:rPr>
              <w:t xml:space="preserve"> жовтня </w:t>
            </w:r>
            <w:r w:rsidRPr="00265675">
              <w:rPr>
                <w:noProof/>
                <w:sz w:val="24"/>
                <w:szCs w:val="24"/>
                <w:lang w:val="uk-UA"/>
              </w:rPr>
              <w:t xml:space="preserve">2011 </w:t>
            </w:r>
            <w:r>
              <w:rPr>
                <w:noProof/>
                <w:sz w:val="24"/>
                <w:szCs w:val="24"/>
                <w:lang w:val="uk-UA"/>
              </w:rPr>
              <w:t xml:space="preserve">р. </w:t>
            </w:r>
            <w:r w:rsidRPr="00265675">
              <w:rPr>
                <w:noProof/>
                <w:sz w:val="24"/>
                <w:szCs w:val="24"/>
                <w:lang w:val="uk-UA"/>
              </w:rPr>
              <w:t>№ 1107</w:t>
            </w:r>
          </w:p>
        </w:tc>
        <w:tc>
          <w:tcPr>
            <w:tcW w:w="4110" w:type="dxa"/>
            <w:shd w:val="clear" w:color="auto" w:fill="auto"/>
          </w:tcPr>
          <w:p w:rsidR="00FD2402" w:rsidRPr="00265675" w:rsidRDefault="00FD2402" w:rsidP="00FD2402">
            <w:pPr>
              <w:jc w:val="both"/>
              <w:rPr>
                <w:noProof/>
                <w:sz w:val="24"/>
                <w:szCs w:val="24"/>
                <w:lang w:val="uk-UA" w:eastAsia="en-US"/>
              </w:rPr>
            </w:pPr>
            <w:r w:rsidRPr="00265675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видачі дозволів на виконання робіт підвищеної небезпеки та на експлуатацію (застосування) машин, механізмів, устатковання підвищеної небезпеки</w:t>
            </w:r>
          </w:p>
        </w:tc>
        <w:tc>
          <w:tcPr>
            <w:tcW w:w="1447" w:type="dxa"/>
            <w:shd w:val="clear" w:color="auto" w:fill="auto"/>
          </w:tcPr>
          <w:p w:rsidR="00FD2402" w:rsidRPr="00265675" w:rsidRDefault="00FD2402" w:rsidP="00855E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Періодичн</w:t>
            </w:r>
            <w:r w:rsidRPr="00265675"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3119" w:type="dxa"/>
            <w:shd w:val="clear" w:color="auto" w:fill="auto"/>
          </w:tcPr>
          <w:p w:rsidR="00FD2402" w:rsidRPr="00265675" w:rsidRDefault="00FD2402" w:rsidP="00FD2402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  <w:r w:rsidRPr="00265675">
              <w:rPr>
                <w:noProof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DB0EBD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468" w:type="dxa"/>
            <w:shd w:val="clear" w:color="auto" w:fill="auto"/>
          </w:tcPr>
          <w:p w:rsidR="00FD2402" w:rsidRPr="00DB0EBD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DB0EBD">
              <w:rPr>
                <w:sz w:val="24"/>
                <w:szCs w:val="24"/>
                <w:lang w:val="uk-UA"/>
              </w:rPr>
              <w:t>останова Кабінету Міністрів України від 27</w:t>
            </w:r>
            <w:r>
              <w:rPr>
                <w:sz w:val="24"/>
                <w:szCs w:val="24"/>
                <w:lang w:val="uk-UA"/>
              </w:rPr>
              <w:t xml:space="preserve"> січня </w:t>
            </w:r>
            <w:r w:rsidRPr="00DB0EBD">
              <w:rPr>
                <w:sz w:val="24"/>
                <w:szCs w:val="24"/>
                <w:lang w:val="uk-UA"/>
              </w:rPr>
              <w:t xml:space="preserve">1995 </w:t>
            </w:r>
            <w:r>
              <w:rPr>
                <w:sz w:val="24"/>
                <w:szCs w:val="24"/>
                <w:lang w:val="uk-UA"/>
              </w:rPr>
              <w:t xml:space="preserve">р.                  </w:t>
            </w:r>
            <w:r w:rsidRPr="00DB0EBD">
              <w:rPr>
                <w:sz w:val="24"/>
                <w:szCs w:val="24"/>
                <w:lang w:val="uk-UA"/>
              </w:rPr>
              <w:t xml:space="preserve">№ 59 (зі змінами </w:t>
            </w:r>
            <w:r>
              <w:rPr>
                <w:sz w:val="24"/>
                <w:szCs w:val="24"/>
                <w:lang w:val="uk-UA"/>
              </w:rPr>
              <w:br/>
            </w:r>
            <w:r w:rsidRPr="00DB0EBD">
              <w:rPr>
                <w:sz w:val="24"/>
                <w:szCs w:val="24"/>
                <w:lang w:val="uk-UA"/>
              </w:rPr>
              <w:t>від 06</w:t>
            </w:r>
            <w:r>
              <w:rPr>
                <w:sz w:val="24"/>
                <w:szCs w:val="24"/>
                <w:lang w:val="uk-UA"/>
              </w:rPr>
              <w:t xml:space="preserve"> травня </w:t>
            </w:r>
            <w:r w:rsidRPr="00DB0EBD">
              <w:rPr>
                <w:sz w:val="24"/>
                <w:szCs w:val="24"/>
                <w:lang w:val="uk-UA"/>
              </w:rPr>
              <w:t xml:space="preserve">2020 </w:t>
            </w:r>
            <w:r>
              <w:rPr>
                <w:sz w:val="24"/>
                <w:szCs w:val="24"/>
                <w:lang w:val="uk-UA"/>
              </w:rPr>
              <w:t xml:space="preserve">р. </w:t>
            </w:r>
            <w:r w:rsidRPr="00DB0EBD">
              <w:rPr>
                <w:sz w:val="24"/>
                <w:szCs w:val="24"/>
                <w:lang w:val="uk-UA"/>
              </w:rPr>
              <w:t xml:space="preserve">№ 352) </w:t>
            </w:r>
          </w:p>
        </w:tc>
        <w:tc>
          <w:tcPr>
            <w:tcW w:w="4110" w:type="dxa"/>
            <w:shd w:val="clear" w:color="auto" w:fill="auto"/>
          </w:tcPr>
          <w:p w:rsidR="00FD2402" w:rsidRPr="00DB0EBD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DB0EBD">
              <w:rPr>
                <w:sz w:val="24"/>
                <w:szCs w:val="24"/>
                <w:lang w:val="uk-UA"/>
              </w:rPr>
              <w:t>Про затвердження Положення про порядок надання гірничих відводів</w:t>
            </w:r>
          </w:p>
        </w:tc>
        <w:tc>
          <w:tcPr>
            <w:tcW w:w="1447" w:type="dxa"/>
            <w:shd w:val="clear" w:color="auto" w:fill="auto"/>
          </w:tcPr>
          <w:p w:rsidR="00FD2402" w:rsidRPr="00DB0EBD" w:rsidRDefault="00FD2402" w:rsidP="00855E6A">
            <w:pPr>
              <w:ind w:left="-26" w:right="-15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DB0EBD">
              <w:rPr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3119" w:type="dxa"/>
            <w:shd w:val="clear" w:color="auto" w:fill="auto"/>
          </w:tcPr>
          <w:p w:rsidR="00FD2402" w:rsidRPr="00DB0EBD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DB0EBD">
              <w:rPr>
                <w:sz w:val="24"/>
                <w:szCs w:val="24"/>
                <w:lang w:val="uk-UA"/>
              </w:rPr>
              <w:t xml:space="preserve">Відділ геолого-маркшейдерських робіт </w:t>
            </w:r>
          </w:p>
        </w:tc>
        <w:tc>
          <w:tcPr>
            <w:tcW w:w="1275" w:type="dxa"/>
            <w:shd w:val="clear" w:color="auto" w:fill="auto"/>
          </w:tcPr>
          <w:p w:rsidR="00FD2402" w:rsidRPr="00DB0EBD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DB0EBD">
              <w:rPr>
                <w:sz w:val="24"/>
                <w:szCs w:val="24"/>
                <w:lang w:val="uk-UA"/>
              </w:rPr>
              <w:t>III</w:t>
            </w:r>
          </w:p>
          <w:p w:rsidR="00FD2402" w:rsidRPr="00DB0EBD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DB0EBD">
              <w:rPr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1426" w:type="dxa"/>
            <w:shd w:val="clear" w:color="auto" w:fill="auto"/>
          </w:tcPr>
          <w:p w:rsidR="00FD2402" w:rsidRPr="00DB0EBD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DB0EBD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DB0EBD" w:rsidTr="00CF0683">
        <w:trPr>
          <w:gridAfter w:val="1"/>
          <w:wAfter w:w="35" w:type="dxa"/>
        </w:trPr>
        <w:tc>
          <w:tcPr>
            <w:tcW w:w="1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02" w:rsidRPr="00FD2402" w:rsidRDefault="00FD2402" w:rsidP="00FD24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D2402">
              <w:rPr>
                <w:b/>
                <w:sz w:val="24"/>
                <w:szCs w:val="24"/>
                <w:lang w:val="uk-UA"/>
              </w:rPr>
              <w:t>Накази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наказ Міністерства економіки України від 28.10.2021                     № 839-21, зареєстрований в </w:t>
            </w:r>
            <w:r w:rsidRPr="00EB51B5">
              <w:rPr>
                <w:sz w:val="24"/>
                <w:szCs w:val="24"/>
                <w:lang w:val="uk-UA"/>
              </w:rPr>
              <w:t xml:space="preserve">Міністерстві юстиції України </w:t>
            </w:r>
            <w:r w:rsidRPr="00265675">
              <w:rPr>
                <w:sz w:val="24"/>
                <w:szCs w:val="24"/>
                <w:lang w:val="uk-UA"/>
              </w:rPr>
              <w:t xml:space="preserve">11.11.2021 за № </w:t>
            </w:r>
            <w:r w:rsidRPr="00265675">
              <w:rPr>
                <w:sz w:val="24"/>
                <w:szCs w:val="24"/>
                <w:shd w:val="clear" w:color="auto" w:fill="FFFFFF"/>
                <w:lang w:val="uk-UA"/>
              </w:rPr>
              <w:t>1488/37110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Pr="00265675">
              <w:rPr>
                <w:bCs/>
                <w:sz w:val="24"/>
                <w:szCs w:val="24"/>
                <w:lang w:val="uk-UA"/>
              </w:rPr>
              <w:t>Порядку впровадження електронного документообігу в системі управління охороною праці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І квартал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37386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наказ Міністерства розвитку економіки, торгівлі та сільського господарства України від 18.11.2020 № 2352</w:t>
            </w:r>
            <w:r>
              <w:rPr>
                <w:sz w:val="24"/>
                <w:szCs w:val="24"/>
                <w:lang w:val="uk-UA"/>
              </w:rPr>
              <w:t>,</w:t>
            </w:r>
            <w:r w:rsidRPr="00265675">
              <w:rPr>
                <w:sz w:val="24"/>
                <w:szCs w:val="24"/>
                <w:lang w:val="uk-UA"/>
              </w:rPr>
              <w:t xml:space="preserve"> </w:t>
            </w:r>
            <w:r w:rsidRPr="00265675">
              <w:rPr>
                <w:bCs/>
                <w:sz w:val="24"/>
                <w:szCs w:val="24"/>
                <w:lang w:val="uk-UA"/>
              </w:rPr>
              <w:t>зареєстрований в Міністерстві юстиції України 12</w:t>
            </w:r>
            <w:r>
              <w:rPr>
                <w:bCs/>
                <w:sz w:val="24"/>
                <w:szCs w:val="24"/>
                <w:lang w:val="uk-UA"/>
              </w:rPr>
              <w:t>.01.2021</w:t>
            </w:r>
            <w:r w:rsidRPr="00265675">
              <w:rPr>
                <w:bCs/>
                <w:sz w:val="24"/>
                <w:szCs w:val="24"/>
                <w:lang w:val="uk-UA"/>
              </w:rPr>
              <w:t xml:space="preserve"> за </w:t>
            </w:r>
            <w:r w:rsidRPr="00265675">
              <w:rPr>
                <w:bCs/>
                <w:sz w:val="24"/>
                <w:szCs w:val="24"/>
                <w:bdr w:val="none" w:sz="0" w:space="0" w:color="auto" w:frame="1"/>
                <w:lang w:val="uk-UA"/>
              </w:rPr>
              <w:t>№</w:t>
            </w:r>
            <w:r w:rsidRPr="00265675">
              <w:rPr>
                <w:bCs/>
                <w:sz w:val="24"/>
                <w:szCs w:val="24"/>
                <w:lang w:val="uk-UA"/>
              </w:rPr>
              <w:t xml:space="preserve"> 33/35655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shd w:val="clear" w:color="auto" w:fill="FFFFFF"/>
                <w:lang w:val="uk-UA"/>
              </w:rPr>
              <w:t>Про затвердження Мінімальних вимог щодо безпеки та здоров’я працівників під час виконання робіт в морських портах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І квартал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наказ Міністерства розвитку економіки, торгівлі та сільського господарства України </w:t>
            </w:r>
            <w:r w:rsidRPr="00265675">
              <w:rPr>
                <w:bCs/>
                <w:sz w:val="24"/>
                <w:szCs w:val="24"/>
                <w:shd w:val="clear" w:color="auto" w:fill="FFFFFF"/>
                <w:lang w:val="uk-UA"/>
              </w:rPr>
              <w:t>від 19.03.2021 № 569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65675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65675">
              <w:rPr>
                <w:rStyle w:val="rvts9"/>
                <w:bCs/>
                <w:sz w:val="24"/>
                <w:szCs w:val="24"/>
                <w:shd w:val="clear" w:color="auto" w:fill="FFFFFF"/>
                <w:lang w:val="uk-UA"/>
              </w:rPr>
              <w:t xml:space="preserve">зареєстрований в Міністерстві </w:t>
            </w:r>
            <w:r w:rsidRPr="00265675">
              <w:rPr>
                <w:rStyle w:val="rvts9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юстиції України </w:t>
            </w:r>
            <w:r>
              <w:rPr>
                <w:rStyle w:val="rvts9"/>
                <w:bCs/>
                <w:sz w:val="24"/>
                <w:szCs w:val="24"/>
                <w:shd w:val="clear" w:color="auto" w:fill="FFFFFF"/>
                <w:lang w:val="uk-UA"/>
              </w:rPr>
              <w:t>07.05.</w:t>
            </w:r>
            <w:r w:rsidRPr="00265675">
              <w:rPr>
                <w:rStyle w:val="rvts9"/>
                <w:bCs/>
                <w:sz w:val="24"/>
                <w:szCs w:val="24"/>
                <w:shd w:val="clear" w:color="auto" w:fill="FFFFFF"/>
                <w:lang w:val="uk-UA"/>
              </w:rPr>
              <w:t>2021 за № 606/36228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lastRenderedPageBreak/>
              <w:t>Про затвердження Мінімальних вимог щодо безпеки та здоров’я на роботі в металургійній промисловості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І квартал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lastRenderedPageBreak/>
              <w:t>4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наказ Міністерства розвитку економіки, торгівлі та сільського господарства України </w:t>
            </w:r>
            <w:r w:rsidRPr="00EB51B5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 15.04.2021 № 775-21, </w:t>
            </w:r>
            <w:r w:rsidRPr="00EB51B5">
              <w:rPr>
                <w:rStyle w:val="rvts9"/>
                <w:color w:val="000000" w:themeColor="text1"/>
                <w:sz w:val="24"/>
                <w:szCs w:val="24"/>
                <w:lang w:val="uk-UA"/>
              </w:rPr>
              <w:t>з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ареєстрований 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 06.05.2021 за  № 603/36225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Pr="00265675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265675">
              <w:rPr>
                <w:sz w:val="24"/>
                <w:szCs w:val="24"/>
                <w:lang w:val="uk-UA"/>
              </w:rPr>
              <w:t>до безпеки та здоров’я працівників під час зберігання, пакування нітрату амонію та використання його для виготовлення комплексних і рідких мінеральних добрив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І квартал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наказ Міністерства розвитку економіки, торгівлі та сільського </w:t>
            </w:r>
            <w:r>
              <w:rPr>
                <w:sz w:val="24"/>
                <w:szCs w:val="24"/>
                <w:lang w:val="uk-UA"/>
              </w:rPr>
              <w:t xml:space="preserve">господарства                  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uk-UA"/>
              </w:rPr>
              <w:br/>
            </w:r>
            <w:r w:rsidRPr="00EB51B5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від 19.03.2021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B51B5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№ 568-21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EB51B5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зареєстрован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ий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 07.05.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2021 за № 613/36235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Pr="00265675">
              <w:rPr>
                <w:rFonts w:eastAsia="Arial"/>
                <w:sz w:val="24"/>
                <w:szCs w:val="24"/>
                <w:lang w:val="uk-UA"/>
              </w:rPr>
              <w:t>Мінімальних вимог щодо безпеки</w:t>
            </w:r>
            <w:r w:rsidRPr="00265675">
              <w:rPr>
                <w:sz w:val="24"/>
                <w:szCs w:val="24"/>
                <w:lang w:val="uk-UA"/>
              </w:rPr>
              <w:t xml:space="preserve"> та здоров’я на роботі у доменному виробництві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І квартал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86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наказ Міністерства соціальної політики України </w:t>
            </w:r>
          </w:p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від 23.06.2017 № 1050, зареєстрований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</w:t>
            </w:r>
            <w:r w:rsidRPr="00265675">
              <w:rPr>
                <w:sz w:val="24"/>
                <w:szCs w:val="24"/>
                <w:lang w:val="uk-UA"/>
              </w:rPr>
              <w:t xml:space="preserve"> 08.09.2017 за № 1111/30979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Про затвердження Мінімальних вимог з охорони праці на тимчасових або мобільних будівельних майданчиках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IV квартал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наказ Міністерства соціальної політики України </w:t>
            </w:r>
            <w:r w:rsidR="00F37386">
              <w:rPr>
                <w:sz w:val="24"/>
                <w:szCs w:val="24"/>
                <w:lang w:val="uk-UA"/>
              </w:rPr>
              <w:br/>
            </w:r>
            <w:r w:rsidRPr="00265675">
              <w:rPr>
                <w:sz w:val="24"/>
                <w:szCs w:val="24"/>
                <w:lang w:val="uk-UA"/>
              </w:rPr>
              <w:t xml:space="preserve">від 11.04.2017 № 603, зареєстрований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</w:t>
            </w:r>
            <w:r w:rsidRPr="00265675">
              <w:rPr>
                <w:sz w:val="24"/>
                <w:szCs w:val="24"/>
                <w:lang w:val="uk-UA"/>
              </w:rPr>
              <w:t xml:space="preserve"> 11.05.2017 за № 588/30456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Про затвердження Правил охорони праці під час одержання та переробки порошків магнію та його сплавів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ІІІ квартал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наказ Міністерства соціальної політики України </w:t>
            </w:r>
            <w:r w:rsidR="00F37386">
              <w:rPr>
                <w:sz w:val="24"/>
                <w:szCs w:val="24"/>
                <w:lang w:val="uk-UA"/>
              </w:rPr>
              <w:br/>
            </w:r>
            <w:r w:rsidRPr="00265675">
              <w:rPr>
                <w:sz w:val="24"/>
                <w:szCs w:val="24"/>
                <w:lang w:val="uk-UA"/>
              </w:rPr>
              <w:t xml:space="preserve">від 20.09.2017 № 1491, зареєстрований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</w:t>
            </w:r>
            <w:r w:rsidRPr="00265675">
              <w:rPr>
                <w:sz w:val="24"/>
                <w:szCs w:val="24"/>
                <w:lang w:val="uk-UA"/>
              </w:rPr>
              <w:t xml:space="preserve"> 23.10.2017 за № 1291/31159</w:t>
            </w:r>
          </w:p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bCs/>
                <w:spacing w:val="-6"/>
                <w:sz w:val="24"/>
                <w:szCs w:val="24"/>
                <w:lang w:val="uk-UA"/>
              </w:rPr>
            </w:pPr>
            <w:r w:rsidRPr="00265675">
              <w:rPr>
                <w:spacing w:val="-6"/>
                <w:sz w:val="24"/>
                <w:szCs w:val="24"/>
                <w:lang w:val="uk-UA"/>
              </w:rPr>
              <w:t>Про затвердження Правил охорони праці під час виконання суднобудівних та судноремонтних робіт</w:t>
            </w:r>
          </w:p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IV квартал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lastRenderedPageBreak/>
              <w:t>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наказ Міністерства соціальної політики України </w:t>
            </w:r>
            <w:r w:rsidR="00CF0683">
              <w:rPr>
                <w:sz w:val="24"/>
                <w:szCs w:val="24"/>
                <w:lang w:val="uk-UA"/>
              </w:rPr>
              <w:br/>
            </w:r>
            <w:r w:rsidRPr="00265675">
              <w:rPr>
                <w:sz w:val="24"/>
                <w:szCs w:val="24"/>
                <w:lang w:val="uk-UA"/>
              </w:rPr>
              <w:t xml:space="preserve">від 18.04.2017 № 635, зареєстрований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</w:t>
            </w:r>
            <w:r w:rsidRPr="00265675">
              <w:rPr>
                <w:sz w:val="24"/>
                <w:szCs w:val="24"/>
                <w:lang w:val="uk-UA"/>
              </w:rPr>
              <w:t xml:space="preserve"> 17.05.2017 за № 633/30501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pacing w:val="-6"/>
                <w:sz w:val="24"/>
                <w:szCs w:val="24"/>
                <w:lang w:val="uk-UA"/>
              </w:rPr>
              <w:t>Про затвердження Правил</w:t>
            </w:r>
            <w:r w:rsidRPr="00265675">
              <w:rPr>
                <w:bCs/>
                <w:sz w:val="24"/>
                <w:szCs w:val="24"/>
                <w:lang w:val="uk-UA"/>
              </w:rPr>
              <w:t xml:space="preserve"> охорони праці для працівників виробництва пива, солоду та безалкогольних напоїв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855E6A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 xml:space="preserve">ІІІ квартал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265675" w:rsidTr="00DB0EBD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наказ Міністерст</w:t>
            </w:r>
            <w:r>
              <w:rPr>
                <w:sz w:val="24"/>
                <w:szCs w:val="24"/>
                <w:lang w:val="uk-UA"/>
              </w:rPr>
              <w:t xml:space="preserve">ва соціальної політики України </w:t>
            </w:r>
            <w:r w:rsidR="00F37386">
              <w:rPr>
                <w:sz w:val="24"/>
                <w:szCs w:val="24"/>
                <w:lang w:val="uk-UA"/>
              </w:rPr>
              <w:br/>
            </w:r>
            <w:r w:rsidRPr="00265675">
              <w:rPr>
                <w:sz w:val="24"/>
                <w:szCs w:val="24"/>
                <w:lang w:val="uk-UA"/>
              </w:rPr>
              <w:t xml:space="preserve">від 18.04.2017 № 634,  зареєстрований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</w:t>
            </w:r>
            <w:r w:rsidRPr="00265675">
              <w:rPr>
                <w:sz w:val="24"/>
                <w:szCs w:val="24"/>
                <w:lang w:val="uk-UA"/>
              </w:rPr>
              <w:t xml:space="preserve"> від 17.07.2017 за № 870/30738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pacing w:val="-6"/>
                <w:sz w:val="24"/>
                <w:szCs w:val="24"/>
                <w:lang w:val="uk-UA"/>
              </w:rPr>
              <w:t>Про затвердження Правил</w:t>
            </w:r>
            <w:r w:rsidRPr="00265675">
              <w:rPr>
                <w:sz w:val="24"/>
                <w:szCs w:val="24"/>
                <w:lang w:val="uk-UA"/>
              </w:rPr>
              <w:t xml:space="preserve"> охорони праці в архівних установах України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855E6A">
            <w:pPr>
              <w:jc w:val="center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IV квартал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26567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26567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EB51B5" w:rsidTr="00FD2402">
        <w:trPr>
          <w:gridAfter w:val="1"/>
          <w:wAfter w:w="35" w:type="dxa"/>
          <w:trHeight w:val="1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11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 xml:space="preserve">наказ Міністерства соціальної політики України </w:t>
            </w:r>
            <w:r w:rsidR="00F37386">
              <w:rPr>
                <w:sz w:val="24"/>
                <w:szCs w:val="24"/>
                <w:lang w:val="uk-UA"/>
              </w:rPr>
              <w:br/>
            </w:r>
            <w:r w:rsidRPr="00EB51B5">
              <w:rPr>
                <w:sz w:val="24"/>
                <w:szCs w:val="24"/>
                <w:lang w:val="uk-UA"/>
              </w:rPr>
              <w:t xml:space="preserve">від 12.04.2018 № 507,  зареєстрований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</w:t>
            </w:r>
            <w:r w:rsidRPr="00EB51B5">
              <w:rPr>
                <w:sz w:val="24"/>
                <w:szCs w:val="24"/>
                <w:lang w:val="uk-UA"/>
              </w:rPr>
              <w:t xml:space="preserve"> 07.05.2018 за № 569/32021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Про затвердження Вимог до експертних організацій, які мають намір виконувати (виконують) експертизу стану охорони праці та безпеки промислового виробництва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855E6A">
            <w:pPr>
              <w:jc w:val="center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 xml:space="preserve">Відділ експертної роботи, ринкового нагляду та надання адміністративних послуг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EB51B5" w:rsidTr="00CF0683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468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наказ Міністерст</w:t>
            </w:r>
            <w:r>
              <w:rPr>
                <w:sz w:val="24"/>
                <w:szCs w:val="24"/>
                <w:lang w:val="uk-UA"/>
              </w:rPr>
              <w:t xml:space="preserve">ва соціальної політики України </w:t>
            </w:r>
            <w:r w:rsidR="00F37386">
              <w:rPr>
                <w:sz w:val="24"/>
                <w:szCs w:val="24"/>
                <w:lang w:val="uk-UA"/>
              </w:rPr>
              <w:br/>
            </w:r>
            <w:r w:rsidRPr="00EB51B5">
              <w:rPr>
                <w:sz w:val="24"/>
                <w:szCs w:val="24"/>
                <w:lang w:val="uk-UA"/>
              </w:rPr>
              <w:t xml:space="preserve">від 29.09.2017 № 1524,  зареєстрований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</w:t>
            </w:r>
            <w:r w:rsidRPr="00EB51B5">
              <w:rPr>
                <w:sz w:val="24"/>
                <w:szCs w:val="24"/>
                <w:lang w:val="uk-UA"/>
              </w:rPr>
              <w:t xml:space="preserve"> від 18.10.2017 за № 1275/31143</w:t>
            </w:r>
          </w:p>
        </w:tc>
        <w:tc>
          <w:tcPr>
            <w:tcW w:w="4110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Про затвердження Правил безпеки під час проектування та експлуатації об’єктів циклічно-потокової технології відкритих гірничих робіт</w:t>
            </w:r>
          </w:p>
        </w:tc>
        <w:tc>
          <w:tcPr>
            <w:tcW w:w="1447" w:type="dxa"/>
            <w:shd w:val="clear" w:color="auto" w:fill="auto"/>
          </w:tcPr>
          <w:p w:rsidR="00FD2402" w:rsidRPr="00EB51B5" w:rsidRDefault="00FD2402" w:rsidP="00855E6A">
            <w:pPr>
              <w:ind w:left="-79"/>
              <w:jc w:val="center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bCs/>
                <w:sz w:val="24"/>
                <w:szCs w:val="24"/>
                <w:lang w:val="uk-UA"/>
              </w:rPr>
              <w:t xml:space="preserve">Відділ нагляду у гірничодобувній промисловості, за вибуховими роботами та утилізацією боєприпасів </w:t>
            </w:r>
          </w:p>
        </w:tc>
        <w:tc>
          <w:tcPr>
            <w:tcW w:w="1275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 xml:space="preserve">ІІІ квартал </w:t>
            </w:r>
          </w:p>
        </w:tc>
        <w:tc>
          <w:tcPr>
            <w:tcW w:w="1426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EB51B5" w:rsidTr="00CF0683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468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 xml:space="preserve">наказ Міністерства соціальної політики України </w:t>
            </w:r>
            <w:r w:rsidR="00F37386">
              <w:rPr>
                <w:sz w:val="24"/>
                <w:szCs w:val="24"/>
                <w:lang w:val="uk-UA"/>
              </w:rPr>
              <w:br/>
            </w:r>
            <w:r w:rsidRPr="00EB51B5">
              <w:rPr>
                <w:sz w:val="24"/>
                <w:szCs w:val="24"/>
                <w:lang w:val="uk-UA"/>
              </w:rPr>
              <w:t xml:space="preserve">від 02.07.2018 № 943, зареєстрований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</w:t>
            </w:r>
            <w:r w:rsidRPr="00EB51B5">
              <w:rPr>
                <w:sz w:val="24"/>
                <w:szCs w:val="24"/>
                <w:lang w:val="uk-UA"/>
              </w:rPr>
              <w:t xml:space="preserve"> від 27.07.2018 за № 872/32324</w:t>
            </w:r>
          </w:p>
        </w:tc>
        <w:tc>
          <w:tcPr>
            <w:tcW w:w="4110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Про затвердження Вимог щодо безпеки та захисту здоров’я працівників видобувних підприємств з підземним і відкритим способами видобування</w:t>
            </w:r>
          </w:p>
        </w:tc>
        <w:tc>
          <w:tcPr>
            <w:tcW w:w="1447" w:type="dxa"/>
            <w:shd w:val="clear" w:color="auto" w:fill="auto"/>
          </w:tcPr>
          <w:p w:rsidR="00FD2402" w:rsidRPr="00EB51B5" w:rsidRDefault="00FD2402" w:rsidP="00855E6A">
            <w:pPr>
              <w:ind w:left="-79"/>
              <w:jc w:val="center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 xml:space="preserve">Відділ нагляду у гірничодобувній промисловості, за вибуховими роботами та утилізацією боєприпасів </w:t>
            </w:r>
          </w:p>
        </w:tc>
        <w:tc>
          <w:tcPr>
            <w:tcW w:w="1275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 xml:space="preserve">ІІІ квартал </w:t>
            </w:r>
          </w:p>
        </w:tc>
        <w:tc>
          <w:tcPr>
            <w:tcW w:w="1426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EB51B5" w:rsidTr="00CF0683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3468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 xml:space="preserve">наказ Міністерства розвитку економіки, торгівлі та сільського господарства України від 11.12.2020 № 2602, зареєстрований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юстиції України</w:t>
            </w:r>
            <w:r w:rsidRPr="00EB51B5">
              <w:rPr>
                <w:sz w:val="24"/>
                <w:szCs w:val="24"/>
                <w:lang w:val="uk-UA"/>
              </w:rPr>
              <w:t xml:space="preserve"> 02.02.2021 за </w:t>
            </w:r>
            <w:r>
              <w:rPr>
                <w:sz w:val="24"/>
                <w:szCs w:val="24"/>
                <w:lang w:val="uk-UA"/>
              </w:rPr>
              <w:t>№ 138/35760</w:t>
            </w:r>
            <w:r w:rsidRPr="00EB51B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lastRenderedPageBreak/>
              <w:t>Про затвердження Вимог щодо забезпечення заходів охорони об’єктів поверхні в умовах шкідливого впливу гірничих робіт</w:t>
            </w:r>
          </w:p>
        </w:tc>
        <w:tc>
          <w:tcPr>
            <w:tcW w:w="1447" w:type="dxa"/>
            <w:shd w:val="clear" w:color="auto" w:fill="auto"/>
          </w:tcPr>
          <w:p w:rsidR="00FD2402" w:rsidRPr="00EB51B5" w:rsidRDefault="00FD2402" w:rsidP="00855E6A">
            <w:pPr>
              <w:jc w:val="center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Відділ геолого-маркшейдерських робіт</w:t>
            </w:r>
          </w:p>
        </w:tc>
        <w:tc>
          <w:tcPr>
            <w:tcW w:w="1275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426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D2402" w:rsidRPr="00EB51B5" w:rsidTr="00CF0683">
        <w:trPr>
          <w:gridAfter w:val="1"/>
          <w:wAfter w:w="3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2" w:rsidRPr="00EB51B5" w:rsidRDefault="00FD2402" w:rsidP="00FD2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468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 xml:space="preserve">наказ Міністерства розвитку економіки, торгівлі та сільського господарства України від 31.03.2021 № 669, зареєстрований </w:t>
            </w:r>
            <w:r w:rsidRPr="00EB51B5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 Міністерстві</w:t>
            </w:r>
            <w:r w:rsidRPr="00EB51B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юстиції України</w:t>
            </w:r>
            <w:r w:rsidRPr="00EB51B5">
              <w:rPr>
                <w:sz w:val="24"/>
                <w:szCs w:val="24"/>
                <w:lang w:val="uk-UA"/>
              </w:rPr>
              <w:t xml:space="preserve"> 06.07.2021 за </w:t>
            </w:r>
            <w:r>
              <w:rPr>
                <w:sz w:val="24"/>
                <w:szCs w:val="24"/>
                <w:lang w:val="uk-UA"/>
              </w:rPr>
              <w:t>№ 884/36506</w:t>
            </w:r>
          </w:p>
        </w:tc>
        <w:tc>
          <w:tcPr>
            <w:tcW w:w="4110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 xml:space="preserve">Про затвердження Правил виконання маркшейдерських робіт під час розробки родовищ рудних та нерудних корисних копалин </w:t>
            </w:r>
          </w:p>
        </w:tc>
        <w:tc>
          <w:tcPr>
            <w:tcW w:w="1447" w:type="dxa"/>
            <w:shd w:val="clear" w:color="auto" w:fill="auto"/>
          </w:tcPr>
          <w:p w:rsidR="00FD2402" w:rsidRPr="00EB51B5" w:rsidRDefault="00FD2402" w:rsidP="00855E6A">
            <w:pPr>
              <w:jc w:val="center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 xml:space="preserve">Відділ геолого-маркшейдерських робіт </w:t>
            </w:r>
          </w:p>
        </w:tc>
        <w:tc>
          <w:tcPr>
            <w:tcW w:w="1275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III</w:t>
            </w:r>
          </w:p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1426" w:type="dxa"/>
            <w:shd w:val="clear" w:color="auto" w:fill="auto"/>
          </w:tcPr>
          <w:p w:rsidR="00FD2402" w:rsidRPr="00EB51B5" w:rsidRDefault="00FD2402" w:rsidP="00FD2402">
            <w:pPr>
              <w:jc w:val="both"/>
              <w:rPr>
                <w:sz w:val="24"/>
                <w:szCs w:val="24"/>
                <w:lang w:val="uk-UA"/>
              </w:rPr>
            </w:pPr>
            <w:r w:rsidRPr="00EB51B5">
              <w:rPr>
                <w:sz w:val="24"/>
                <w:szCs w:val="24"/>
                <w:lang w:val="uk-UA"/>
              </w:rPr>
              <w:t>статистичні</w:t>
            </w:r>
          </w:p>
        </w:tc>
      </w:tr>
    </w:tbl>
    <w:p w:rsidR="00934661" w:rsidRPr="00EB51B5" w:rsidRDefault="00934661" w:rsidP="00EB51B5">
      <w:pPr>
        <w:jc w:val="both"/>
        <w:rPr>
          <w:sz w:val="24"/>
          <w:szCs w:val="24"/>
          <w:lang w:val="uk-UA"/>
        </w:rPr>
      </w:pPr>
    </w:p>
    <w:sectPr w:rsidR="00934661" w:rsidRPr="00EB51B5" w:rsidSect="00CA0C84">
      <w:headerReference w:type="default" r:id="rId8"/>
      <w:pgSz w:w="16838" w:h="11906" w:orient="landscape"/>
      <w:pgMar w:top="993" w:right="536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EE" w:rsidRDefault="00E146EE" w:rsidP="00224931">
      <w:r>
        <w:separator/>
      </w:r>
    </w:p>
  </w:endnote>
  <w:endnote w:type="continuationSeparator" w:id="0">
    <w:p w:rsidR="00E146EE" w:rsidRDefault="00E146EE" w:rsidP="0022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EE" w:rsidRDefault="00E146EE" w:rsidP="00224931">
      <w:r>
        <w:separator/>
      </w:r>
    </w:p>
  </w:footnote>
  <w:footnote w:type="continuationSeparator" w:id="0">
    <w:p w:rsidR="00E146EE" w:rsidRDefault="00E146EE" w:rsidP="0022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83" w:rsidRDefault="00CF068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21"/>
    <w:multiLevelType w:val="hybridMultilevel"/>
    <w:tmpl w:val="0FA8F0E2"/>
    <w:lvl w:ilvl="0" w:tplc="335CA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6647102"/>
    <w:multiLevelType w:val="hybridMultilevel"/>
    <w:tmpl w:val="C6A2E8DA"/>
    <w:lvl w:ilvl="0" w:tplc="AB6A9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A0"/>
    <w:rsid w:val="0000220B"/>
    <w:rsid w:val="000105DA"/>
    <w:rsid w:val="00014507"/>
    <w:rsid w:val="00027D15"/>
    <w:rsid w:val="000310AA"/>
    <w:rsid w:val="00036291"/>
    <w:rsid w:val="000372A5"/>
    <w:rsid w:val="000501EE"/>
    <w:rsid w:val="00053921"/>
    <w:rsid w:val="00060EBD"/>
    <w:rsid w:val="000639AD"/>
    <w:rsid w:val="00063E5D"/>
    <w:rsid w:val="00067C47"/>
    <w:rsid w:val="00070DE5"/>
    <w:rsid w:val="00073820"/>
    <w:rsid w:val="00091827"/>
    <w:rsid w:val="00092FCD"/>
    <w:rsid w:val="00093DAA"/>
    <w:rsid w:val="0009532C"/>
    <w:rsid w:val="000A0438"/>
    <w:rsid w:val="000A1156"/>
    <w:rsid w:val="000A3D26"/>
    <w:rsid w:val="000B138F"/>
    <w:rsid w:val="000B29FB"/>
    <w:rsid w:val="000B2B27"/>
    <w:rsid w:val="000B38FE"/>
    <w:rsid w:val="000B4571"/>
    <w:rsid w:val="000B49DA"/>
    <w:rsid w:val="000C0F9A"/>
    <w:rsid w:val="000C1D95"/>
    <w:rsid w:val="000C2579"/>
    <w:rsid w:val="000C4950"/>
    <w:rsid w:val="000C6DAE"/>
    <w:rsid w:val="000E0FA7"/>
    <w:rsid w:val="000E2A8B"/>
    <w:rsid w:val="000F2346"/>
    <w:rsid w:val="000F36FE"/>
    <w:rsid w:val="000F7BE2"/>
    <w:rsid w:val="00100F26"/>
    <w:rsid w:val="00100FAF"/>
    <w:rsid w:val="001031D8"/>
    <w:rsid w:val="001037D0"/>
    <w:rsid w:val="001052D8"/>
    <w:rsid w:val="001121D6"/>
    <w:rsid w:val="0011285A"/>
    <w:rsid w:val="00112F1F"/>
    <w:rsid w:val="00114565"/>
    <w:rsid w:val="0012460E"/>
    <w:rsid w:val="0012533D"/>
    <w:rsid w:val="00130CD7"/>
    <w:rsid w:val="00132980"/>
    <w:rsid w:val="001344AD"/>
    <w:rsid w:val="00143AAB"/>
    <w:rsid w:val="00145D12"/>
    <w:rsid w:val="00151D15"/>
    <w:rsid w:val="0015531C"/>
    <w:rsid w:val="0016080C"/>
    <w:rsid w:val="001615E9"/>
    <w:rsid w:val="00163FB4"/>
    <w:rsid w:val="00164B3C"/>
    <w:rsid w:val="001672C7"/>
    <w:rsid w:val="00170A89"/>
    <w:rsid w:val="00181027"/>
    <w:rsid w:val="00184968"/>
    <w:rsid w:val="00185AE9"/>
    <w:rsid w:val="00186747"/>
    <w:rsid w:val="00187947"/>
    <w:rsid w:val="0019044D"/>
    <w:rsid w:val="001911C7"/>
    <w:rsid w:val="001957F2"/>
    <w:rsid w:val="001A0963"/>
    <w:rsid w:val="001A1DED"/>
    <w:rsid w:val="001A20CD"/>
    <w:rsid w:val="001A377F"/>
    <w:rsid w:val="001B35D0"/>
    <w:rsid w:val="001B69EF"/>
    <w:rsid w:val="001B7007"/>
    <w:rsid w:val="001C00BA"/>
    <w:rsid w:val="001C0FC2"/>
    <w:rsid w:val="001C16DA"/>
    <w:rsid w:val="001E1886"/>
    <w:rsid w:val="001E3893"/>
    <w:rsid w:val="001E39F6"/>
    <w:rsid w:val="001E41FA"/>
    <w:rsid w:val="001E72C5"/>
    <w:rsid w:val="001F015C"/>
    <w:rsid w:val="001F0760"/>
    <w:rsid w:val="0020222C"/>
    <w:rsid w:val="00204362"/>
    <w:rsid w:val="00205FE9"/>
    <w:rsid w:val="00210A72"/>
    <w:rsid w:val="00210EED"/>
    <w:rsid w:val="002141ED"/>
    <w:rsid w:val="002151B6"/>
    <w:rsid w:val="002155D6"/>
    <w:rsid w:val="002166B2"/>
    <w:rsid w:val="0022309A"/>
    <w:rsid w:val="00224931"/>
    <w:rsid w:val="002254E9"/>
    <w:rsid w:val="002265C8"/>
    <w:rsid w:val="0023697D"/>
    <w:rsid w:val="00244ABF"/>
    <w:rsid w:val="00254411"/>
    <w:rsid w:val="00254A3C"/>
    <w:rsid w:val="00257A56"/>
    <w:rsid w:val="00260982"/>
    <w:rsid w:val="00265675"/>
    <w:rsid w:val="00270469"/>
    <w:rsid w:val="00276A04"/>
    <w:rsid w:val="00280AFB"/>
    <w:rsid w:val="002954AD"/>
    <w:rsid w:val="002A012A"/>
    <w:rsid w:val="002A5496"/>
    <w:rsid w:val="002A6EFF"/>
    <w:rsid w:val="002B06DD"/>
    <w:rsid w:val="002B59CA"/>
    <w:rsid w:val="002C0DF8"/>
    <w:rsid w:val="002D102B"/>
    <w:rsid w:val="002D3077"/>
    <w:rsid w:val="002D30CA"/>
    <w:rsid w:val="002D489B"/>
    <w:rsid w:val="002D5250"/>
    <w:rsid w:val="002E105C"/>
    <w:rsid w:val="002E18A7"/>
    <w:rsid w:val="002E44E9"/>
    <w:rsid w:val="002F3112"/>
    <w:rsid w:val="002F39E7"/>
    <w:rsid w:val="002F72A2"/>
    <w:rsid w:val="00304E5E"/>
    <w:rsid w:val="0030750E"/>
    <w:rsid w:val="00307849"/>
    <w:rsid w:val="00310445"/>
    <w:rsid w:val="00312EE6"/>
    <w:rsid w:val="00327D09"/>
    <w:rsid w:val="003325AF"/>
    <w:rsid w:val="00333BB2"/>
    <w:rsid w:val="00340347"/>
    <w:rsid w:val="00341BFA"/>
    <w:rsid w:val="00342D8D"/>
    <w:rsid w:val="00343F1F"/>
    <w:rsid w:val="003501A9"/>
    <w:rsid w:val="00353937"/>
    <w:rsid w:val="00353B28"/>
    <w:rsid w:val="003649F7"/>
    <w:rsid w:val="003679C0"/>
    <w:rsid w:val="00392476"/>
    <w:rsid w:val="00395F65"/>
    <w:rsid w:val="003A1359"/>
    <w:rsid w:val="003A1E5C"/>
    <w:rsid w:val="003A423A"/>
    <w:rsid w:val="003A7048"/>
    <w:rsid w:val="003B1C00"/>
    <w:rsid w:val="003B444E"/>
    <w:rsid w:val="003B5DE9"/>
    <w:rsid w:val="003C7214"/>
    <w:rsid w:val="003D3F0C"/>
    <w:rsid w:val="003E01D8"/>
    <w:rsid w:val="003E40B9"/>
    <w:rsid w:val="003E642E"/>
    <w:rsid w:val="003E699F"/>
    <w:rsid w:val="003F21F5"/>
    <w:rsid w:val="003F2DD9"/>
    <w:rsid w:val="003F3C65"/>
    <w:rsid w:val="003F46D0"/>
    <w:rsid w:val="003F6CD2"/>
    <w:rsid w:val="0040368A"/>
    <w:rsid w:val="00404BF8"/>
    <w:rsid w:val="004118B5"/>
    <w:rsid w:val="00413B2C"/>
    <w:rsid w:val="004153F4"/>
    <w:rsid w:val="00420754"/>
    <w:rsid w:val="00426F0D"/>
    <w:rsid w:val="00440131"/>
    <w:rsid w:val="0044093F"/>
    <w:rsid w:val="004458F9"/>
    <w:rsid w:val="00452EB2"/>
    <w:rsid w:val="004559A2"/>
    <w:rsid w:val="004572C0"/>
    <w:rsid w:val="00463FC1"/>
    <w:rsid w:val="00463FC7"/>
    <w:rsid w:val="00471AE2"/>
    <w:rsid w:val="00472048"/>
    <w:rsid w:val="00473EA9"/>
    <w:rsid w:val="004762B4"/>
    <w:rsid w:val="00482857"/>
    <w:rsid w:val="00486504"/>
    <w:rsid w:val="00487B26"/>
    <w:rsid w:val="004A1495"/>
    <w:rsid w:val="004A14A7"/>
    <w:rsid w:val="004A2104"/>
    <w:rsid w:val="004A27DD"/>
    <w:rsid w:val="004A5ACE"/>
    <w:rsid w:val="004A7300"/>
    <w:rsid w:val="004C1C24"/>
    <w:rsid w:val="004C3D14"/>
    <w:rsid w:val="004D364B"/>
    <w:rsid w:val="004D4D5D"/>
    <w:rsid w:val="004E1A7A"/>
    <w:rsid w:val="004E1CF0"/>
    <w:rsid w:val="004E6E12"/>
    <w:rsid w:val="004F0B8A"/>
    <w:rsid w:val="004F15C0"/>
    <w:rsid w:val="004F224A"/>
    <w:rsid w:val="004F4544"/>
    <w:rsid w:val="004F5BE6"/>
    <w:rsid w:val="004F6207"/>
    <w:rsid w:val="0050485B"/>
    <w:rsid w:val="00505BC0"/>
    <w:rsid w:val="0051095F"/>
    <w:rsid w:val="00510B7F"/>
    <w:rsid w:val="00515573"/>
    <w:rsid w:val="005156ED"/>
    <w:rsid w:val="005159B2"/>
    <w:rsid w:val="0051788F"/>
    <w:rsid w:val="005312DF"/>
    <w:rsid w:val="00533C56"/>
    <w:rsid w:val="00534383"/>
    <w:rsid w:val="00535C81"/>
    <w:rsid w:val="005372B9"/>
    <w:rsid w:val="00544441"/>
    <w:rsid w:val="005452BA"/>
    <w:rsid w:val="00545F2A"/>
    <w:rsid w:val="00546FFB"/>
    <w:rsid w:val="00547D67"/>
    <w:rsid w:val="00566C92"/>
    <w:rsid w:val="00570B83"/>
    <w:rsid w:val="00572BE1"/>
    <w:rsid w:val="005800D4"/>
    <w:rsid w:val="00583FAC"/>
    <w:rsid w:val="00592ECD"/>
    <w:rsid w:val="005A2DC3"/>
    <w:rsid w:val="005A4B4B"/>
    <w:rsid w:val="005B55AB"/>
    <w:rsid w:val="005B59B8"/>
    <w:rsid w:val="005B7318"/>
    <w:rsid w:val="005C31D7"/>
    <w:rsid w:val="005C4212"/>
    <w:rsid w:val="005C6EBA"/>
    <w:rsid w:val="005C7E64"/>
    <w:rsid w:val="005D3261"/>
    <w:rsid w:val="005D48B0"/>
    <w:rsid w:val="005D61E2"/>
    <w:rsid w:val="005D6F98"/>
    <w:rsid w:val="005F064C"/>
    <w:rsid w:val="005F52EB"/>
    <w:rsid w:val="005F5F0B"/>
    <w:rsid w:val="005F7731"/>
    <w:rsid w:val="00611E85"/>
    <w:rsid w:val="00617430"/>
    <w:rsid w:val="00621143"/>
    <w:rsid w:val="00623044"/>
    <w:rsid w:val="00623DFD"/>
    <w:rsid w:val="006273AE"/>
    <w:rsid w:val="00635BBA"/>
    <w:rsid w:val="00635DA6"/>
    <w:rsid w:val="006474E0"/>
    <w:rsid w:val="0065203B"/>
    <w:rsid w:val="006601AD"/>
    <w:rsid w:val="00660777"/>
    <w:rsid w:val="0067057A"/>
    <w:rsid w:val="00671B43"/>
    <w:rsid w:val="00672428"/>
    <w:rsid w:val="0067646E"/>
    <w:rsid w:val="006852AC"/>
    <w:rsid w:val="00686CCB"/>
    <w:rsid w:val="0069271F"/>
    <w:rsid w:val="00695BCD"/>
    <w:rsid w:val="006A1A45"/>
    <w:rsid w:val="006A1EE5"/>
    <w:rsid w:val="006A3157"/>
    <w:rsid w:val="006A6703"/>
    <w:rsid w:val="006A6E51"/>
    <w:rsid w:val="006B1A95"/>
    <w:rsid w:val="006B69E2"/>
    <w:rsid w:val="006C133E"/>
    <w:rsid w:val="006C5453"/>
    <w:rsid w:val="006D27DA"/>
    <w:rsid w:val="006D363E"/>
    <w:rsid w:val="006E1E51"/>
    <w:rsid w:val="006E698B"/>
    <w:rsid w:val="00702299"/>
    <w:rsid w:val="00707DE0"/>
    <w:rsid w:val="00710807"/>
    <w:rsid w:val="0072670E"/>
    <w:rsid w:val="007305A0"/>
    <w:rsid w:val="00734B7B"/>
    <w:rsid w:val="00737BFD"/>
    <w:rsid w:val="00755366"/>
    <w:rsid w:val="00767321"/>
    <w:rsid w:val="00773439"/>
    <w:rsid w:val="00774F31"/>
    <w:rsid w:val="007778B1"/>
    <w:rsid w:val="007801B1"/>
    <w:rsid w:val="007802F0"/>
    <w:rsid w:val="00780612"/>
    <w:rsid w:val="00780CFF"/>
    <w:rsid w:val="00784EA5"/>
    <w:rsid w:val="0078630F"/>
    <w:rsid w:val="007A629B"/>
    <w:rsid w:val="007A7623"/>
    <w:rsid w:val="007A7F1C"/>
    <w:rsid w:val="007C3FCB"/>
    <w:rsid w:val="007C458B"/>
    <w:rsid w:val="007C7097"/>
    <w:rsid w:val="007E1FDE"/>
    <w:rsid w:val="007F245F"/>
    <w:rsid w:val="008035FF"/>
    <w:rsid w:val="0080691D"/>
    <w:rsid w:val="00814643"/>
    <w:rsid w:val="008203EC"/>
    <w:rsid w:val="008204B2"/>
    <w:rsid w:val="008216C2"/>
    <w:rsid w:val="008246C5"/>
    <w:rsid w:val="00831A80"/>
    <w:rsid w:val="00831D33"/>
    <w:rsid w:val="00833BE1"/>
    <w:rsid w:val="00834E73"/>
    <w:rsid w:val="00840F60"/>
    <w:rsid w:val="00850F1F"/>
    <w:rsid w:val="00853F11"/>
    <w:rsid w:val="008556E0"/>
    <w:rsid w:val="00855E6A"/>
    <w:rsid w:val="00855E7B"/>
    <w:rsid w:val="008608BB"/>
    <w:rsid w:val="008721C8"/>
    <w:rsid w:val="008754B0"/>
    <w:rsid w:val="008766AB"/>
    <w:rsid w:val="00882BBF"/>
    <w:rsid w:val="00887830"/>
    <w:rsid w:val="0089482E"/>
    <w:rsid w:val="008970C5"/>
    <w:rsid w:val="008A3725"/>
    <w:rsid w:val="008A53B2"/>
    <w:rsid w:val="008B2FA5"/>
    <w:rsid w:val="008B4ED0"/>
    <w:rsid w:val="008B53BF"/>
    <w:rsid w:val="008B7ED7"/>
    <w:rsid w:val="008C255B"/>
    <w:rsid w:val="008C4A8D"/>
    <w:rsid w:val="008D101F"/>
    <w:rsid w:val="008D2F49"/>
    <w:rsid w:val="008D33ED"/>
    <w:rsid w:val="008E1C67"/>
    <w:rsid w:val="008F08ED"/>
    <w:rsid w:val="008F0BA4"/>
    <w:rsid w:val="008F32A4"/>
    <w:rsid w:val="008F611F"/>
    <w:rsid w:val="008F6A43"/>
    <w:rsid w:val="00906ADA"/>
    <w:rsid w:val="009077EB"/>
    <w:rsid w:val="00910669"/>
    <w:rsid w:val="00915362"/>
    <w:rsid w:val="0092403C"/>
    <w:rsid w:val="00924A2C"/>
    <w:rsid w:val="00926A6E"/>
    <w:rsid w:val="00927BC9"/>
    <w:rsid w:val="00930A8E"/>
    <w:rsid w:val="00934661"/>
    <w:rsid w:val="00940655"/>
    <w:rsid w:val="009421D7"/>
    <w:rsid w:val="0094407E"/>
    <w:rsid w:val="00945C32"/>
    <w:rsid w:val="00950277"/>
    <w:rsid w:val="00955043"/>
    <w:rsid w:val="00956B5E"/>
    <w:rsid w:val="00960970"/>
    <w:rsid w:val="009616EA"/>
    <w:rsid w:val="00961D86"/>
    <w:rsid w:val="00963DC5"/>
    <w:rsid w:val="00970FB2"/>
    <w:rsid w:val="0097434B"/>
    <w:rsid w:val="0097438F"/>
    <w:rsid w:val="00980A93"/>
    <w:rsid w:val="00981E88"/>
    <w:rsid w:val="00987AEB"/>
    <w:rsid w:val="009901B2"/>
    <w:rsid w:val="0099117D"/>
    <w:rsid w:val="0099233E"/>
    <w:rsid w:val="00992909"/>
    <w:rsid w:val="00995B4D"/>
    <w:rsid w:val="00996828"/>
    <w:rsid w:val="0099710B"/>
    <w:rsid w:val="009A0E6B"/>
    <w:rsid w:val="009A193A"/>
    <w:rsid w:val="009A50C9"/>
    <w:rsid w:val="009A54FB"/>
    <w:rsid w:val="009B16AD"/>
    <w:rsid w:val="009B52C2"/>
    <w:rsid w:val="009B7A2A"/>
    <w:rsid w:val="009C2C09"/>
    <w:rsid w:val="009C4179"/>
    <w:rsid w:val="009C6F85"/>
    <w:rsid w:val="009C6FE1"/>
    <w:rsid w:val="009E2E9E"/>
    <w:rsid w:val="009F0227"/>
    <w:rsid w:val="009F074F"/>
    <w:rsid w:val="009F4799"/>
    <w:rsid w:val="00A0494F"/>
    <w:rsid w:val="00A05147"/>
    <w:rsid w:val="00A14AB7"/>
    <w:rsid w:val="00A23ABE"/>
    <w:rsid w:val="00A349E5"/>
    <w:rsid w:val="00A36EC9"/>
    <w:rsid w:val="00A40C18"/>
    <w:rsid w:val="00A53AE6"/>
    <w:rsid w:val="00A5526A"/>
    <w:rsid w:val="00A612F5"/>
    <w:rsid w:val="00A618DF"/>
    <w:rsid w:val="00A61C09"/>
    <w:rsid w:val="00A649EE"/>
    <w:rsid w:val="00A7419C"/>
    <w:rsid w:val="00A75BCB"/>
    <w:rsid w:val="00A75F06"/>
    <w:rsid w:val="00A85A85"/>
    <w:rsid w:val="00A90BC3"/>
    <w:rsid w:val="00A9231E"/>
    <w:rsid w:val="00AB3D28"/>
    <w:rsid w:val="00AC1ED3"/>
    <w:rsid w:val="00AC7A65"/>
    <w:rsid w:val="00AD0E10"/>
    <w:rsid w:val="00AD19A8"/>
    <w:rsid w:val="00AD4298"/>
    <w:rsid w:val="00AD4653"/>
    <w:rsid w:val="00AE02B5"/>
    <w:rsid w:val="00AF4E48"/>
    <w:rsid w:val="00B0355E"/>
    <w:rsid w:val="00B058F6"/>
    <w:rsid w:val="00B07C7E"/>
    <w:rsid w:val="00B10984"/>
    <w:rsid w:val="00B166E9"/>
    <w:rsid w:val="00B300A9"/>
    <w:rsid w:val="00B30DC9"/>
    <w:rsid w:val="00B3361A"/>
    <w:rsid w:val="00B33AA5"/>
    <w:rsid w:val="00B51C5F"/>
    <w:rsid w:val="00B56C5E"/>
    <w:rsid w:val="00B644BE"/>
    <w:rsid w:val="00B70535"/>
    <w:rsid w:val="00B7280A"/>
    <w:rsid w:val="00B739E5"/>
    <w:rsid w:val="00B73B58"/>
    <w:rsid w:val="00B74A47"/>
    <w:rsid w:val="00B851A3"/>
    <w:rsid w:val="00B859B8"/>
    <w:rsid w:val="00BA65BD"/>
    <w:rsid w:val="00BA70DE"/>
    <w:rsid w:val="00BB2BF7"/>
    <w:rsid w:val="00BB3264"/>
    <w:rsid w:val="00BC3E31"/>
    <w:rsid w:val="00BC4253"/>
    <w:rsid w:val="00BC42D2"/>
    <w:rsid w:val="00BC4E52"/>
    <w:rsid w:val="00BC62FC"/>
    <w:rsid w:val="00BD4E1A"/>
    <w:rsid w:val="00BD5318"/>
    <w:rsid w:val="00BD7BFF"/>
    <w:rsid w:val="00BE451F"/>
    <w:rsid w:val="00BE5E43"/>
    <w:rsid w:val="00BE62D9"/>
    <w:rsid w:val="00BF3573"/>
    <w:rsid w:val="00BF506C"/>
    <w:rsid w:val="00C0668E"/>
    <w:rsid w:val="00C06696"/>
    <w:rsid w:val="00C067E4"/>
    <w:rsid w:val="00C0784F"/>
    <w:rsid w:val="00C121CC"/>
    <w:rsid w:val="00C1764E"/>
    <w:rsid w:val="00C20930"/>
    <w:rsid w:val="00C2139D"/>
    <w:rsid w:val="00C23840"/>
    <w:rsid w:val="00C25DB1"/>
    <w:rsid w:val="00C35C00"/>
    <w:rsid w:val="00C3784D"/>
    <w:rsid w:val="00C47965"/>
    <w:rsid w:val="00C51006"/>
    <w:rsid w:val="00C51ED2"/>
    <w:rsid w:val="00C53C37"/>
    <w:rsid w:val="00C53C92"/>
    <w:rsid w:val="00C63067"/>
    <w:rsid w:val="00C638C6"/>
    <w:rsid w:val="00C7039C"/>
    <w:rsid w:val="00C73FF1"/>
    <w:rsid w:val="00C7445B"/>
    <w:rsid w:val="00C763B9"/>
    <w:rsid w:val="00C810C1"/>
    <w:rsid w:val="00C848A1"/>
    <w:rsid w:val="00C859E4"/>
    <w:rsid w:val="00C90B5A"/>
    <w:rsid w:val="00C92888"/>
    <w:rsid w:val="00C96A15"/>
    <w:rsid w:val="00C97093"/>
    <w:rsid w:val="00CA0C84"/>
    <w:rsid w:val="00CA4802"/>
    <w:rsid w:val="00CA49E3"/>
    <w:rsid w:val="00CA66C4"/>
    <w:rsid w:val="00CC7483"/>
    <w:rsid w:val="00CE0433"/>
    <w:rsid w:val="00CE4E50"/>
    <w:rsid w:val="00CF0683"/>
    <w:rsid w:val="00CF7931"/>
    <w:rsid w:val="00D02611"/>
    <w:rsid w:val="00D222DC"/>
    <w:rsid w:val="00D27B24"/>
    <w:rsid w:val="00D33CC1"/>
    <w:rsid w:val="00D3462E"/>
    <w:rsid w:val="00D36225"/>
    <w:rsid w:val="00D37ACE"/>
    <w:rsid w:val="00D42A76"/>
    <w:rsid w:val="00D461BA"/>
    <w:rsid w:val="00D53EE7"/>
    <w:rsid w:val="00D54FE7"/>
    <w:rsid w:val="00D655FE"/>
    <w:rsid w:val="00D750C5"/>
    <w:rsid w:val="00D828C5"/>
    <w:rsid w:val="00D874C2"/>
    <w:rsid w:val="00D87838"/>
    <w:rsid w:val="00D87DEB"/>
    <w:rsid w:val="00D90E6C"/>
    <w:rsid w:val="00D9252A"/>
    <w:rsid w:val="00D942A2"/>
    <w:rsid w:val="00D969DC"/>
    <w:rsid w:val="00DA1F36"/>
    <w:rsid w:val="00DA33C5"/>
    <w:rsid w:val="00DB025C"/>
    <w:rsid w:val="00DB0EBD"/>
    <w:rsid w:val="00DB2D3C"/>
    <w:rsid w:val="00DB5663"/>
    <w:rsid w:val="00DB7203"/>
    <w:rsid w:val="00DC23AA"/>
    <w:rsid w:val="00DC352C"/>
    <w:rsid w:val="00DD02C5"/>
    <w:rsid w:val="00DD18AE"/>
    <w:rsid w:val="00DD348A"/>
    <w:rsid w:val="00DD45C4"/>
    <w:rsid w:val="00DD6AD3"/>
    <w:rsid w:val="00DE4F29"/>
    <w:rsid w:val="00DE7E73"/>
    <w:rsid w:val="00DF08E0"/>
    <w:rsid w:val="00DF3A69"/>
    <w:rsid w:val="00DF74A3"/>
    <w:rsid w:val="00E02F0B"/>
    <w:rsid w:val="00E04D67"/>
    <w:rsid w:val="00E1402B"/>
    <w:rsid w:val="00E146EE"/>
    <w:rsid w:val="00E21568"/>
    <w:rsid w:val="00E21FB5"/>
    <w:rsid w:val="00E403B0"/>
    <w:rsid w:val="00E41370"/>
    <w:rsid w:val="00E41DF2"/>
    <w:rsid w:val="00E43993"/>
    <w:rsid w:val="00E43BFB"/>
    <w:rsid w:val="00E46BDF"/>
    <w:rsid w:val="00E560FF"/>
    <w:rsid w:val="00E60ADB"/>
    <w:rsid w:val="00E61321"/>
    <w:rsid w:val="00E61864"/>
    <w:rsid w:val="00E625F3"/>
    <w:rsid w:val="00E64A90"/>
    <w:rsid w:val="00E67DBB"/>
    <w:rsid w:val="00E7436D"/>
    <w:rsid w:val="00E82881"/>
    <w:rsid w:val="00E85F62"/>
    <w:rsid w:val="00E86BDC"/>
    <w:rsid w:val="00E875BD"/>
    <w:rsid w:val="00EA0B89"/>
    <w:rsid w:val="00EA2508"/>
    <w:rsid w:val="00EA46A2"/>
    <w:rsid w:val="00EA59B4"/>
    <w:rsid w:val="00EA77E7"/>
    <w:rsid w:val="00EB2E50"/>
    <w:rsid w:val="00EB51B5"/>
    <w:rsid w:val="00EB5606"/>
    <w:rsid w:val="00EC1BC0"/>
    <w:rsid w:val="00EC3FE7"/>
    <w:rsid w:val="00EC6650"/>
    <w:rsid w:val="00ED087C"/>
    <w:rsid w:val="00ED3D20"/>
    <w:rsid w:val="00ED48F8"/>
    <w:rsid w:val="00EE38CF"/>
    <w:rsid w:val="00EE4D8E"/>
    <w:rsid w:val="00EF24B4"/>
    <w:rsid w:val="00EF7AC4"/>
    <w:rsid w:val="00F074D7"/>
    <w:rsid w:val="00F11CC5"/>
    <w:rsid w:val="00F16FC6"/>
    <w:rsid w:val="00F20114"/>
    <w:rsid w:val="00F21FC5"/>
    <w:rsid w:val="00F25C5A"/>
    <w:rsid w:val="00F32A8E"/>
    <w:rsid w:val="00F33558"/>
    <w:rsid w:val="00F359C7"/>
    <w:rsid w:val="00F37386"/>
    <w:rsid w:val="00F46538"/>
    <w:rsid w:val="00F559C9"/>
    <w:rsid w:val="00F60FB5"/>
    <w:rsid w:val="00F626B0"/>
    <w:rsid w:val="00F64B4E"/>
    <w:rsid w:val="00F66614"/>
    <w:rsid w:val="00F738CB"/>
    <w:rsid w:val="00F7662F"/>
    <w:rsid w:val="00F7721E"/>
    <w:rsid w:val="00F91BD4"/>
    <w:rsid w:val="00F95A20"/>
    <w:rsid w:val="00FA2FA7"/>
    <w:rsid w:val="00FB14A0"/>
    <w:rsid w:val="00FB7C2A"/>
    <w:rsid w:val="00FD19DF"/>
    <w:rsid w:val="00FD2402"/>
    <w:rsid w:val="00FD2ECE"/>
    <w:rsid w:val="00FD6FC0"/>
    <w:rsid w:val="00FE6D07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E8E5E"/>
  <w15:docId w15:val="{BAEEE450-FA58-454E-B484-23992A74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A0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342D8D"/>
    <w:pPr>
      <w:keepNext/>
      <w:outlineLvl w:val="0"/>
    </w:pPr>
    <w:rPr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B14A0"/>
    <w:rPr>
      <w:rFonts w:ascii="Verdana" w:eastAsia="Batang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B14A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A6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rvts23">
    <w:name w:val="rvts23"/>
    <w:basedOn w:val="a0"/>
    <w:rsid w:val="00A61C09"/>
  </w:style>
  <w:style w:type="character" w:customStyle="1" w:styleId="HTML0">
    <w:name w:val="Стандартный HTML Знак"/>
    <w:link w:val="HTML"/>
    <w:rsid w:val="00A61C09"/>
    <w:rPr>
      <w:rFonts w:ascii="Courier New" w:hAnsi="Courier New" w:cs="Courier New"/>
      <w:lang w:val="uk-UA" w:eastAsia="uk-UA" w:bidi="ar-SA"/>
    </w:rPr>
  </w:style>
  <w:style w:type="paragraph" w:styleId="a6">
    <w:name w:val="Normal (Web)"/>
    <w:basedOn w:val="a"/>
    <w:uiPriority w:val="99"/>
    <w:unhideWhenUsed/>
    <w:rsid w:val="00A61C0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A61C09"/>
    <w:pPr>
      <w:overflowPunct w:val="0"/>
      <w:autoSpaceDE w:val="0"/>
      <w:autoSpaceDN w:val="0"/>
      <w:adjustRightInd w:val="0"/>
      <w:jc w:val="center"/>
      <w:textAlignment w:val="baseline"/>
    </w:pPr>
    <w:rPr>
      <w:rFonts w:ascii="Antiqua" w:hAnsi="Antiqua"/>
      <w:b/>
      <w:sz w:val="26"/>
      <w:szCs w:val="20"/>
      <w:lang w:val="uk-UA"/>
    </w:rPr>
  </w:style>
  <w:style w:type="character" w:styleId="a7">
    <w:name w:val="Hyperlink"/>
    <w:rsid w:val="00A61C09"/>
    <w:rPr>
      <w:color w:val="0000FF"/>
      <w:u w:val="single"/>
    </w:rPr>
  </w:style>
  <w:style w:type="paragraph" w:customStyle="1" w:styleId="a8">
    <w:name w:val="Название предприятия"/>
    <w:basedOn w:val="a"/>
    <w:rsid w:val="00992909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11">
    <w:name w:val="1"/>
    <w:basedOn w:val="a"/>
    <w:rsid w:val="00992909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833BE1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aa">
    <w:name w:val="Body Text Indent"/>
    <w:basedOn w:val="a"/>
    <w:rsid w:val="00342D8D"/>
    <w:pPr>
      <w:ind w:left="6480"/>
    </w:pPr>
    <w:rPr>
      <w:sz w:val="24"/>
      <w:szCs w:val="20"/>
      <w:lang w:val="uk-UA"/>
    </w:rPr>
  </w:style>
  <w:style w:type="character" w:customStyle="1" w:styleId="ab">
    <w:name w:val="Заголовок сообщения (текст)"/>
    <w:rsid w:val="00DD02C5"/>
    <w:rPr>
      <w:rFonts w:ascii="Arial Black" w:hAnsi="Arial Black"/>
      <w:spacing w:val="-10"/>
      <w:sz w:val="18"/>
    </w:rPr>
  </w:style>
  <w:style w:type="paragraph" w:customStyle="1" w:styleId="ac">
    <w:name w:val="Знак Знак Знак"/>
    <w:basedOn w:val="a"/>
    <w:rsid w:val="00A5526A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Знак Знак"/>
    <w:rsid w:val="00CA49E3"/>
    <w:rPr>
      <w:rFonts w:ascii="Courier New" w:hAnsi="Courier New" w:cs="Courier New"/>
      <w:lang w:val="uk-UA" w:eastAsia="uk-UA" w:bidi="ar-SA"/>
    </w:rPr>
  </w:style>
  <w:style w:type="paragraph" w:customStyle="1" w:styleId="12">
    <w:name w:val="Обычный1"/>
    <w:rsid w:val="00617430"/>
    <w:rPr>
      <w:rFonts w:ascii="UkrainianBaltica" w:hAnsi="UkrainianBaltica"/>
      <w:sz w:val="24"/>
      <w:lang w:eastAsia="ru-RU"/>
    </w:rPr>
  </w:style>
  <w:style w:type="paragraph" w:customStyle="1" w:styleId="ae">
    <w:name w:val="Знак"/>
    <w:basedOn w:val="a"/>
    <w:rsid w:val="00617430"/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583FAC"/>
  </w:style>
  <w:style w:type="paragraph" w:customStyle="1" w:styleId="af">
    <w:name w:val="заголов"/>
    <w:basedOn w:val="a"/>
    <w:rsid w:val="00E43993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styleId="af0">
    <w:name w:val="Balloon Text"/>
    <w:basedOn w:val="a"/>
    <w:link w:val="af1"/>
    <w:rsid w:val="00D90E6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90E6C"/>
    <w:rPr>
      <w:rFonts w:ascii="Tahoma" w:hAnsi="Tahoma" w:cs="Tahoma"/>
      <w:sz w:val="16"/>
      <w:szCs w:val="16"/>
      <w:lang w:val="ru-RU" w:eastAsia="ru-RU"/>
    </w:rPr>
  </w:style>
  <w:style w:type="paragraph" w:customStyle="1" w:styleId="af2">
    <w:name w:val="Знак Знак Знак Знак Знак Знак Знак Знак Знак Знак Знак"/>
    <w:basedOn w:val="a"/>
    <w:rsid w:val="00224931"/>
    <w:rPr>
      <w:rFonts w:ascii="Verdana" w:hAnsi="Verdana" w:cs="Verdana"/>
      <w:sz w:val="20"/>
      <w:szCs w:val="20"/>
      <w:lang w:val="en-US" w:eastAsia="en-US"/>
    </w:rPr>
  </w:style>
  <w:style w:type="character" w:customStyle="1" w:styleId="namefielddepartment">
    <w:name w:val="namefield department"/>
    <w:basedOn w:val="a0"/>
    <w:rsid w:val="00482857"/>
  </w:style>
  <w:style w:type="character" w:customStyle="1" w:styleId="namefieldjobtitle">
    <w:name w:val="namefield jobtitle"/>
    <w:basedOn w:val="a0"/>
    <w:rsid w:val="00482857"/>
  </w:style>
  <w:style w:type="character" w:customStyle="1" w:styleId="rvts0">
    <w:name w:val="rvts0"/>
    <w:basedOn w:val="a0"/>
    <w:rsid w:val="00B851A3"/>
  </w:style>
  <w:style w:type="paragraph" w:styleId="af3">
    <w:name w:val="footer"/>
    <w:basedOn w:val="a"/>
    <w:rsid w:val="007A7623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7A7623"/>
  </w:style>
  <w:style w:type="paragraph" w:styleId="af5">
    <w:name w:val="header"/>
    <w:basedOn w:val="a"/>
    <w:link w:val="af6"/>
    <w:uiPriority w:val="99"/>
    <w:rsid w:val="007A7623"/>
    <w:pPr>
      <w:tabs>
        <w:tab w:val="center" w:pos="4677"/>
        <w:tab w:val="right" w:pos="9355"/>
      </w:tabs>
    </w:pPr>
  </w:style>
  <w:style w:type="character" w:styleId="af7">
    <w:name w:val="Strong"/>
    <w:qFormat/>
    <w:rsid w:val="001E39F6"/>
    <w:rPr>
      <w:b/>
      <w:bCs/>
    </w:rPr>
  </w:style>
  <w:style w:type="paragraph" w:customStyle="1" w:styleId="af8">
    <w:name w:val="Стиль Знак Знак"/>
    <w:basedOn w:val="a"/>
    <w:rsid w:val="00834E7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Назва документа"/>
    <w:basedOn w:val="a"/>
    <w:next w:val="a"/>
    <w:rsid w:val="00834E7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f6">
    <w:name w:val="Верхний колонтитул Знак"/>
    <w:link w:val="af5"/>
    <w:uiPriority w:val="99"/>
    <w:rsid w:val="001F0760"/>
    <w:rPr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rsid w:val="00D874C2"/>
    <w:rPr>
      <w:b/>
      <w:sz w:val="24"/>
      <w:lang w:eastAsia="ru-RU"/>
    </w:rPr>
  </w:style>
  <w:style w:type="character" w:customStyle="1" w:styleId="rvts44">
    <w:name w:val="rvts44"/>
    <w:basedOn w:val="a0"/>
    <w:rsid w:val="00D874C2"/>
  </w:style>
  <w:style w:type="character" w:customStyle="1" w:styleId="213pt">
    <w:name w:val="Основной текст (2) + 13 pt"/>
    <w:rsid w:val="00EA59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rvts9">
    <w:name w:val="rvts9"/>
    <w:rsid w:val="00AB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0E48-1046-485C-B61F-350AC72E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2186</Words>
  <Characters>15428</Characters>
  <Application>Microsoft Office Word</Application>
  <DocSecurity>0</DocSecurity>
  <Lines>128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DNOP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Admin</dc:creator>
  <cp:lastModifiedBy>User</cp:lastModifiedBy>
  <cp:revision>4</cp:revision>
  <cp:lastPrinted>2021-12-13T10:25:00Z</cp:lastPrinted>
  <dcterms:created xsi:type="dcterms:W3CDTF">2021-12-15T09:09:00Z</dcterms:created>
  <dcterms:modified xsi:type="dcterms:W3CDTF">2022-07-28T14:06:00Z</dcterms:modified>
</cp:coreProperties>
</file>