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852"/>
      </w:tblGrid>
      <w:tr w:rsidR="004D1307" w:rsidRPr="004D1307" w:rsidTr="004D1307">
        <w:trPr>
          <w:trHeight w:val="1544"/>
        </w:trPr>
        <w:tc>
          <w:tcPr>
            <w:tcW w:w="3002" w:type="pct"/>
            <w:shd w:val="clear" w:color="auto" w:fill="auto"/>
            <w:hideMark/>
          </w:tcPr>
          <w:p w:rsidR="004D1307" w:rsidRPr="004D1307" w:rsidRDefault="004D1307" w:rsidP="004D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998" w:type="pct"/>
            <w:shd w:val="clear" w:color="auto" w:fill="auto"/>
          </w:tcPr>
          <w:p w:rsidR="004D1307" w:rsidRPr="004D1307" w:rsidRDefault="004D1307" w:rsidP="004D13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Державного комітету</w:t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України по нагляду</w:t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охороною праці</w:t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21.12.1993  № 132</w:t>
            </w:r>
          </w:p>
        </w:tc>
      </w:tr>
      <w:tr w:rsidR="004D1307" w:rsidRPr="004D1307" w:rsidTr="004D1307">
        <w:tc>
          <w:tcPr>
            <w:tcW w:w="3000" w:type="pct"/>
            <w:shd w:val="clear" w:color="auto" w:fill="auto"/>
            <w:hideMark/>
          </w:tcPr>
          <w:p w:rsidR="004D1307" w:rsidRPr="004D1307" w:rsidRDefault="004D1307" w:rsidP="004D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41"/>
            <w:bookmarkEnd w:id="1"/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4D1307" w:rsidRPr="004D1307" w:rsidRDefault="004D1307" w:rsidP="004D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 </w:t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07 лютого 1994 р.</w:t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20/229</w:t>
            </w:r>
          </w:p>
        </w:tc>
      </w:tr>
    </w:tbl>
    <w:p w:rsidR="004D1307" w:rsidRPr="004D1307" w:rsidRDefault="004D1307" w:rsidP="004D130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11"/>
      <w:bookmarkEnd w:id="2"/>
      <w:r w:rsidRPr="004D13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ПОРЯДОК</w:t>
      </w:r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D13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опрацювання і затвердження роботодавцем нормативних актів з охорони праці, що діють на підприємстві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45"/>
      <w:bookmarkEnd w:id="3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{Назва із змінами, внесеними згідно з Наказом Міністерства соціальної політики </w:t>
      </w:r>
      <w:hyperlink r:id="rId5" w:anchor="n16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66"/>
      <w:bookmarkEnd w:id="4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{У тексті слово </w:t>
      </w:r>
      <w:proofErr w:type="spellStart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„власник</w:t>
      </w:r>
      <w:proofErr w:type="spellEnd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” в усіх відмінках замінено словом </w:t>
      </w:r>
      <w:proofErr w:type="spellStart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„роботодавець</w:t>
      </w:r>
      <w:proofErr w:type="spellEnd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” у відповідних відмінках, слова </w:t>
      </w:r>
      <w:proofErr w:type="spellStart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„про</w:t>
      </w:r>
      <w:proofErr w:type="spellEnd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охорону праці” замінено словами „з охорони праці”, слова </w:t>
      </w:r>
      <w:proofErr w:type="spellStart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„державних</w:t>
      </w:r>
      <w:proofErr w:type="spellEnd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міжгалузевих і галузевих нормативних”, </w:t>
      </w:r>
      <w:proofErr w:type="spellStart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„державних</w:t>
      </w:r>
      <w:proofErr w:type="spellEnd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нормативних” замінено словом „нормативно-правових” згідно з Наказом Міністерства соціальної політики </w:t>
      </w:r>
      <w:hyperlink r:id="rId6" w:anchor="n46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2"/>
      <w:bookmarkEnd w:id="5"/>
      <w:r w:rsidRPr="004D1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I. Загальні положення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13"/>
      <w:bookmarkEnd w:id="6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 Цей нормативний акт підготовлений відповідно до </w:t>
      </w:r>
      <w:hyperlink r:id="rId7" w:tgtFrame="_blank" w:history="1">
        <w:r w:rsidRPr="004D13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"Про охорону праці" і встановлює порядок опрацювання і затвердження роботодавцем нормативних актів з охорони праці, що діють на підприємстві (далі – нормативні акти з охорони праці).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46"/>
      <w:bookmarkEnd w:id="7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1.1 глави 1 із змінами, внесеними згідно з Наказом Міністерства соціальної політики </w:t>
      </w:r>
      <w:hyperlink r:id="rId8" w:anchor="n18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4"/>
      <w:bookmarkEnd w:id="8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 Порядок поширюється на всі підприємства, установи, організації незалежно від форм власності та видів їх діяльності (далі підприємство).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5"/>
      <w:bookmarkEnd w:id="9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1.3. Нормативні акти з охорони праці, що затверджуються роботодавцем, спрямовані на побудову чіткої системи управління охороною праці та забезпечення в кожному структурному підрозділі і на робочому місці безпечних і нешкідливих умов праці, встановлюють правила виконання робіт і поведінки працівників на території підприємства, у виробничих приміщеннях, на будівельних майданчиках робочих місцях відповідно до нормативно-правових актів з охорони праці.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6"/>
      <w:bookmarkEnd w:id="10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1.4. Нормативні акти з охорони праці, що підлягають затвердженню трудовим колективом (Положення про комісію з питань охорони праці підприємства, Положення про діяльність уповноважених найманими працівниками осіб з питань охорони праці, тощо) опрацьовуються роботодавцем разом з відповідними громадськими організаціями.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48"/>
      <w:bookmarkEnd w:id="11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1.4 глави 1 із змінами, внесеними згідно з Наказом Міністерства соціальної політики </w:t>
      </w:r>
      <w:hyperlink r:id="rId9" w:anchor="n20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7"/>
      <w:bookmarkEnd w:id="12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1.5. Нормативні акти з охорони праці повинні відповідати чинному законодавству України, вимогам нормативно-правових актів з охорони праці.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49"/>
      <w:bookmarkEnd w:id="13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lastRenderedPageBreak/>
        <w:t>{Пункт 1.5 глави 1 із змінами, внесеними згідно з Наказом Міністерства соціальної політики </w:t>
      </w:r>
      <w:hyperlink r:id="rId10" w:anchor="n21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8"/>
      <w:bookmarkEnd w:id="14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1.6. Порядок фінансування робіт щодо опрацювання та тиражування нормативних актів з охорони праці визначає роботодавець.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9"/>
      <w:bookmarkEnd w:id="15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є потреба в опрацюванні єдиного за змістом і формою нормативного акта з охорони праці для потреб групи підприємств, установ, організацій, роботодавці приймають рішення про об'єднання на пайових засадах необхідних на це коштів. Затвердження такого нормативного акта здійснюється кожним роботодавцем окремо.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50"/>
      <w:bookmarkEnd w:id="16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1.6 глави 1 із змінами, внесеними згідно з Наказом Міністерства соціальної політики </w:t>
      </w:r>
      <w:hyperlink r:id="rId11" w:anchor="n22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20"/>
      <w:bookmarkEnd w:id="17"/>
      <w:r w:rsidRPr="004D1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Опрацювання, узгодження, затвердження і скасування нормативних актів з охорони праці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51"/>
      <w:bookmarkEnd w:id="18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{Назва глави 2 із змінами, внесеними згідно з Наказом Міністерства соціальної політики </w:t>
      </w:r>
      <w:hyperlink r:id="rId12" w:anchor="n26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1"/>
      <w:bookmarkEnd w:id="19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Опрацювання нормативних актів з охорони праці здійснюється відповідно до наказу (розпорядження) роботодавця, яким визначаються конкретні строки, виконавці та керівник розробки.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52"/>
      <w:bookmarkEnd w:id="20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{Абзац перший пункту 2.1 глави 2 із змінами, внесеними згідно з Наказом Міністерства соціальної політики </w:t>
      </w:r>
      <w:hyperlink r:id="rId13" w:anchor="n27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2"/>
      <w:bookmarkEnd w:id="21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підготовки найбільш важливих та складних проектів може створюватися комісія чи робоча група.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23"/>
      <w:bookmarkEnd w:id="22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2.2. До опрацювання проекту нормативного акта з охорони праці залучаються фахівці підрозділів підприємства, до компетенції яких відноситься питання, кваліфіковані спеціалісти у галузі охорони праці та з правових питань, представники профспілки (профспілок) та інших громадських об'єднань, уповноважені найманими працівниками особи з питань охорони праці та члени комісії з питань охорони праці підприємства.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53"/>
      <w:bookmarkEnd w:id="23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{Абзац перший пункту 2.2 глави 2 із змінами, внесеними згідно з Наказом Міністерства соціальної політики </w:t>
      </w:r>
      <w:hyperlink r:id="rId14" w:anchor="n28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24"/>
      <w:bookmarkEnd w:id="24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необхідності роботодавець може на договірній основі залучити до опрацювання проекту нормативного акта спеціалістів сторонніх організацій.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5"/>
      <w:bookmarkEnd w:id="25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 Посадова особа, яка призначена керівником розробки проекту нормативного акта з охорони праці, готує за участю відповідних спеціалістів пропозиції щодо організації та етапів роботи над проектом, складає план опрацювання такого нормативного акта. План затверджується роботодавцем.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54"/>
      <w:bookmarkEnd w:id="26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2.3 глави 2 із змінами, внесеними згідно з Наказом Міністерства соціальної політики </w:t>
      </w:r>
      <w:hyperlink r:id="rId15" w:anchor="n29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26"/>
      <w:bookmarkEnd w:id="27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2.4. Опрацюванню проекту нормативного акта з охорони праці передує підготовча робота (збір необхідних матеріалів, вивчення нормативно-правових актів з охорони праці, типових документів та раніше виданих нормативних актів підприємства з даного питання, узагальнення зауважень та пропозицій, що надійшли в ході підготовки тощо).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55"/>
      <w:bookmarkEnd w:id="28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2.4 глави 2 із змінами, внесеними згідно з Наказом Міністерства соціальної політики </w:t>
      </w:r>
      <w:hyperlink r:id="rId16" w:anchor="n30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27"/>
      <w:bookmarkEnd w:id="29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2.5. Структура, побудова, оформлення та викладення змісту нормативного акта з охорони праці повинні забезпечувати правильне розуміння та застосування акта.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56"/>
      <w:bookmarkEnd w:id="30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lastRenderedPageBreak/>
        <w:t>{Пункт 2.5 глави 2 в редакції Наказу Міністерства соціальної політики </w:t>
      </w:r>
      <w:hyperlink r:id="rId17" w:anchor="n31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28"/>
      <w:bookmarkEnd w:id="31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2.6. Роботодавець зобов'язаний врахувати при опрацюванні і затвердженні нормативного акта з охорони праці вимоги законодавства про охорону праці.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57"/>
      <w:bookmarkEnd w:id="32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2.6 глави 2 із змінами, внесеними згідно з Наказом Міністерства соціальної політики </w:t>
      </w:r>
      <w:hyperlink r:id="rId18" w:anchor="n33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29"/>
      <w:bookmarkEnd w:id="33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2.7. Якщо при опрацюванні проекту нормативного акта з охорони праці виникає необхідність перегляду, зміни або скасування чинних взаємозв'язаних з ним нормативних актів з охорони праці, то керівник розробки одночасно з опрацюванням проекту забезпечує підготовку </w:t>
      </w:r>
      <w:proofErr w:type="spellStart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обгрунтованої</w:t>
      </w:r>
      <w:proofErr w:type="spellEnd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пропозиції щодо перегляду, зміни або скасування чинних нормативних актів з охорони праці.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58"/>
      <w:bookmarkEnd w:id="34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2.7 глави 2 із змінами, внесеними згідно з Наказом Міністерства соціальної політики </w:t>
      </w:r>
      <w:hyperlink r:id="rId19" w:anchor="n34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30"/>
      <w:bookmarkEnd w:id="35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2.8. Проект нормативного акта підприємства з охорони праці підлягає узгодженню із службою охорони праці цього підприємства і керівником (фахівцем) з правових питань. У разі необхідності він узгоджується з іншими зацікавленими службами, підрозділами і посадовими особами підприємства, перелік яких визначає служба охорони праці.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31"/>
      <w:bookmarkEnd w:id="36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підприємствах з кількістю працюючих до 50 чоловік та в організаціях, де службу охорони праці не створено, проект узгоджується з посадовою особою, на яку згідно з наказом (розпорядженням) роботодавця покладено виконання функцій цієї служби.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59"/>
      <w:bookmarkEnd w:id="37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2.8 глави 2 із змінами, внесеними згідно з Наказом Міністерства соціальної політики </w:t>
      </w:r>
      <w:hyperlink r:id="rId20" w:anchor="n35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32"/>
      <w:bookmarkEnd w:id="38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2.9. Затвердження і скасування нормативних актів з охорони праці здійснюється наказом (розпорядженням) роботодавця (за винятком актів, які відносяться до компетенції трудового колективу і підлягають затвердженню на його загальних зборах або конференції).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60"/>
      <w:bookmarkEnd w:id="39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2.9 глави 2 із змінами, внесеними згідно з Наказом Міністерства соціальної політики </w:t>
      </w:r>
      <w:hyperlink r:id="rId21" w:anchor="n38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" w:name="n33"/>
      <w:bookmarkEnd w:id="40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2.10. Роботодавець зобов'язаний встановити систематичний контроль за відповідністю нормативних актів з охорони праці вимогам чинного законодавства та забезпечити їх періодичний перегляд, своєчасне внесення змін або опрацювання і затвердження нового нормативного акта з охорони праці у зв'язку із змінами в організації виробництва, впровадженням нової техніки і технології, переглядом нормативно-правових актів з охорони праці тощо.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61"/>
      <w:bookmarkEnd w:id="41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2.10 глави 2 із змінами, внесеними згідно з Наказом Міністерства соціальної політики </w:t>
      </w:r>
      <w:hyperlink r:id="rId22" w:anchor="n39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34"/>
      <w:bookmarkEnd w:id="42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2.11. Строк перегляду нормативного акта з охорони праці, що встановлюється роботодавцем, не може перевищувати строку перегляду нормативно-правового акта з охорони праці, на підставі якого він опрацьовується.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62"/>
      <w:bookmarkEnd w:id="43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{Абзац перший пункту 2.11 глави 2 в редакції Наказу Міністерства соціальної політики </w:t>
      </w:r>
      <w:hyperlink r:id="rId23" w:anchor="n41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35"/>
      <w:bookmarkEnd w:id="44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Нормативний акт з охорони праці підлягає достроковому перегляду (або скасуванню), якщо органами державного нагляду за охороною праці виявлено його невідповідність вимогам законодавства про охорону праці.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63"/>
      <w:bookmarkEnd w:id="45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{Абзац другий пункту 2.11 глави 2 із змінами, внесеними згідно з Наказом Міністерства соціальної політики </w:t>
      </w:r>
      <w:hyperlink r:id="rId24" w:anchor="n43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" w:name="n36"/>
      <w:bookmarkEnd w:id="46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2.12. Узгодження і затвердження змін до нормативного акта з охорони праці або прийняття нового акта за результатами перегляду чинного здійснюються в порядку, передбаченому пунктами </w:t>
      </w:r>
      <w:hyperlink r:id="rId25" w:anchor="n21" w:history="1">
        <w:r w:rsidRPr="004D130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2.1.-2.6.</w:t>
        </w:r>
      </w:hyperlink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цього Порядку.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64"/>
      <w:bookmarkEnd w:id="47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2.12 глави 2 із змінами, внесеними згідно з Наказом Міністерства соціальної політики </w:t>
      </w:r>
      <w:hyperlink r:id="rId26" w:anchor="n44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" w:name="n37"/>
      <w:bookmarkEnd w:id="48"/>
      <w:r w:rsidRPr="004D13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2.13. Реєстрація та облік нормативних актів з охорони праці здійснюються в порядку, який встановлюється роботодавцем, якщо інше не передбачено законодавством.</w:t>
      </w:r>
    </w:p>
    <w:p w:rsidR="004D1307" w:rsidRPr="004D1307" w:rsidRDefault="004D1307" w:rsidP="004D13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65"/>
      <w:bookmarkEnd w:id="49"/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2.13 глави 2 із змінами, внесеними згідно з Наказом Міністерства соціальної політики </w:t>
      </w:r>
      <w:hyperlink r:id="rId27" w:anchor="n45" w:tgtFrame="_blank" w:history="1">
        <w:r w:rsidRPr="004D130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1259 від 01.11.2016</w:t>
        </w:r>
      </w:hyperlink>
      <w:r w:rsidRPr="004D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4D1307" w:rsidRPr="004D1307" w:rsidTr="004D1307">
        <w:tc>
          <w:tcPr>
            <w:tcW w:w="2100" w:type="pct"/>
            <w:shd w:val="clear" w:color="auto" w:fill="auto"/>
            <w:hideMark/>
          </w:tcPr>
          <w:p w:rsidR="004D1307" w:rsidRPr="004D1307" w:rsidRDefault="004D1307" w:rsidP="004D130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n38"/>
            <w:bookmarkEnd w:id="50"/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</w:t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Державного комітету</w:t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 нагляду за охороною праці</w:t>
            </w:r>
          </w:p>
        </w:tc>
        <w:tc>
          <w:tcPr>
            <w:tcW w:w="3500" w:type="pct"/>
            <w:shd w:val="clear" w:color="auto" w:fill="auto"/>
            <w:hideMark/>
          </w:tcPr>
          <w:p w:rsidR="004D1307" w:rsidRPr="004D1307" w:rsidRDefault="004D1307" w:rsidP="004D130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А.Ф. </w:t>
            </w:r>
            <w:proofErr w:type="spellStart"/>
            <w:r w:rsidRPr="004D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Дюба</w:t>
            </w:r>
            <w:proofErr w:type="spellEnd"/>
          </w:p>
        </w:tc>
      </w:tr>
    </w:tbl>
    <w:p w:rsidR="001F7CCA" w:rsidRDefault="001F7CCA"/>
    <w:sectPr w:rsidR="001F7C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07"/>
    <w:rsid w:val="001F7CCA"/>
    <w:rsid w:val="004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7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517-16" TargetMode="External"/><Relationship Id="rId13" Type="http://schemas.openxmlformats.org/officeDocument/2006/relationships/hyperlink" Target="https://zakon.rada.gov.ua/laws/show/z1517-16" TargetMode="External"/><Relationship Id="rId18" Type="http://schemas.openxmlformats.org/officeDocument/2006/relationships/hyperlink" Target="https://zakon.rada.gov.ua/laws/show/z1517-16" TargetMode="External"/><Relationship Id="rId26" Type="http://schemas.openxmlformats.org/officeDocument/2006/relationships/hyperlink" Target="https://zakon.rada.gov.ua/laws/show/z1517-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1517-16" TargetMode="External"/><Relationship Id="rId7" Type="http://schemas.openxmlformats.org/officeDocument/2006/relationships/hyperlink" Target="https://zakon.rada.gov.ua/laws/show/2694-12" TargetMode="External"/><Relationship Id="rId12" Type="http://schemas.openxmlformats.org/officeDocument/2006/relationships/hyperlink" Target="https://zakon.rada.gov.ua/laws/show/z1517-16" TargetMode="External"/><Relationship Id="rId17" Type="http://schemas.openxmlformats.org/officeDocument/2006/relationships/hyperlink" Target="https://zakon.rada.gov.ua/laws/show/z1517-16" TargetMode="External"/><Relationship Id="rId25" Type="http://schemas.openxmlformats.org/officeDocument/2006/relationships/hyperlink" Target="https://zakon.rada.gov.ua/laws/show/z0020-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z1517-16" TargetMode="External"/><Relationship Id="rId20" Type="http://schemas.openxmlformats.org/officeDocument/2006/relationships/hyperlink" Target="https://zakon.rada.gov.ua/laws/show/z1517-1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517-16" TargetMode="External"/><Relationship Id="rId11" Type="http://schemas.openxmlformats.org/officeDocument/2006/relationships/hyperlink" Target="https://zakon.rada.gov.ua/laws/show/z1517-16" TargetMode="External"/><Relationship Id="rId24" Type="http://schemas.openxmlformats.org/officeDocument/2006/relationships/hyperlink" Target="https://zakon.rada.gov.ua/laws/show/z1517-16" TargetMode="External"/><Relationship Id="rId5" Type="http://schemas.openxmlformats.org/officeDocument/2006/relationships/hyperlink" Target="https://zakon.rada.gov.ua/laws/show/z1517-16" TargetMode="External"/><Relationship Id="rId15" Type="http://schemas.openxmlformats.org/officeDocument/2006/relationships/hyperlink" Target="https://zakon.rada.gov.ua/laws/show/z1517-16" TargetMode="External"/><Relationship Id="rId23" Type="http://schemas.openxmlformats.org/officeDocument/2006/relationships/hyperlink" Target="https://zakon.rada.gov.ua/laws/show/z1517-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z1517-16" TargetMode="External"/><Relationship Id="rId19" Type="http://schemas.openxmlformats.org/officeDocument/2006/relationships/hyperlink" Target="https://zakon.rada.gov.ua/laws/show/z1517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517-16" TargetMode="External"/><Relationship Id="rId14" Type="http://schemas.openxmlformats.org/officeDocument/2006/relationships/hyperlink" Target="https://zakon.rada.gov.ua/laws/show/z1517-16" TargetMode="External"/><Relationship Id="rId22" Type="http://schemas.openxmlformats.org/officeDocument/2006/relationships/hyperlink" Target="https://zakon.rada.gov.ua/laws/show/z1517-16" TargetMode="External"/><Relationship Id="rId27" Type="http://schemas.openxmlformats.org/officeDocument/2006/relationships/hyperlink" Target="https://zakon.rada.gov.ua/laws/show/z1517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6905</Words>
  <Characters>3936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Павлунь</dc:creator>
  <cp:lastModifiedBy>Павлунь</cp:lastModifiedBy>
  <cp:revision>1</cp:revision>
  <dcterms:created xsi:type="dcterms:W3CDTF">2019-12-18T10:04:00Z</dcterms:created>
  <dcterms:modified xsi:type="dcterms:W3CDTF">2019-12-18T10:06:00Z</dcterms:modified>
</cp:coreProperties>
</file>